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彩虹黑体" w:eastAsia="彩虹黑体"/>
          <w:sz w:val="44"/>
          <w:szCs w:val="44"/>
        </w:rPr>
      </w:pPr>
      <w:bookmarkStart w:id="0" w:name="_GoBack"/>
      <w:bookmarkEnd w:id="0"/>
    </w:p>
    <w:p>
      <w:pPr>
        <w:widowControl/>
        <w:spacing w:line="400" w:lineRule="exact"/>
        <w:jc w:val="center"/>
        <w:rPr>
          <w:rFonts w:ascii="彩虹小标宋" w:hAnsi="彩虹小标宋" w:eastAsia="彩虹小标宋" w:cs="彩虹小标宋"/>
          <w:color w:val="000000"/>
          <w:kern w:val="0"/>
          <w:sz w:val="44"/>
          <w:szCs w:val="44"/>
        </w:rPr>
      </w:pPr>
      <w:r>
        <w:rPr>
          <w:rFonts w:hint="eastAsia" w:ascii="彩虹小标宋" w:hAnsi="彩虹小标宋" w:eastAsia="彩虹小标宋" w:cs="彩虹小标宋"/>
          <w:color w:val="000000"/>
          <w:kern w:val="0"/>
          <w:sz w:val="40"/>
          <w:szCs w:val="44"/>
        </w:rPr>
        <w:t>中国建设银行对公黄金积存业务风险揭示书（2026年</w:t>
      </w:r>
      <w:r>
        <w:rPr>
          <w:rFonts w:hint="eastAsia" w:ascii="彩虹小标宋" w:hAnsi="彩虹小标宋" w:eastAsia="彩虹小标宋" w:cs="彩虹小标宋"/>
          <w:color w:val="000000"/>
          <w:kern w:val="0"/>
          <w:sz w:val="40"/>
          <w:szCs w:val="44"/>
          <w:highlight w:val="none"/>
          <w:lang w:val="en-US" w:eastAsia="zh-CN"/>
        </w:rPr>
        <w:t>9</w:t>
      </w:r>
      <w:r>
        <w:rPr>
          <w:rFonts w:hint="eastAsia" w:ascii="彩虹小标宋" w:hAnsi="彩虹小标宋" w:eastAsia="彩虹小标宋" w:cs="彩虹小标宋"/>
          <w:color w:val="000000"/>
          <w:kern w:val="0"/>
          <w:sz w:val="40"/>
          <w:szCs w:val="44"/>
        </w:rPr>
        <w:t>月版）</w:t>
      </w:r>
    </w:p>
    <w:p>
      <w:pPr>
        <w:spacing w:line="560" w:lineRule="exact"/>
        <w:jc w:val="center"/>
        <w:rPr>
          <w:rFonts w:ascii="彩虹小标宋" w:hAnsi="Arial" w:eastAsia="彩虹小标宋" w:cs="Arial"/>
          <w:kern w:val="0"/>
          <w:sz w:val="36"/>
          <w:szCs w:val="36"/>
        </w:rPr>
      </w:pP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尊敬的客户： </w:t>
      </w:r>
    </w:p>
    <w:p>
      <w:pPr>
        <w:spacing w:line="587" w:lineRule="exact"/>
        <w:ind w:firstLine="640" w:firstLineChars="200"/>
        <w:jc w:val="left"/>
        <w:rPr>
          <w:rFonts w:ascii="彩虹粗仿宋" w:hAnsi="Arial" w:eastAsia="彩虹粗仿宋" w:cs="Arial"/>
          <w:b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为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帮助贵单位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全面了解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对公黄金积存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业务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存在的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风险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，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本着诚实守信和对客户负责的原则，中国建设银行股份有限公司（以下简称：建设银行）郑重提醒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贵单位“投资有风险，交易需谨慎”</w:t>
      </w:r>
      <w:r>
        <w:rPr>
          <w:rFonts w:hint="eastAsia" w:ascii="彩虹粗仿宋" w:hAnsi="Arial" w:eastAsia="彩虹粗仿宋" w:cs="Arial"/>
          <w:kern w:val="0"/>
          <w:sz w:val="32"/>
          <w:szCs w:val="32"/>
          <w:lang w:eastAsia="zh-Hans"/>
        </w:rPr>
        <w:t>，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参与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对公黄金积存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业务存在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包括但不限于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以下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政策风险、价格风险、操作风险、流动性风险、系统风险、不可抗力风险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，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可能引起贵单位本金及收益损失，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请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贵单位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lang w:eastAsia="zh-Hans"/>
        </w:rPr>
        <w:t>谨慎投资：</w:t>
      </w:r>
    </w:p>
    <w:p>
      <w:pPr>
        <w:spacing w:line="587" w:lineRule="exact"/>
        <w:ind w:firstLine="642" w:firstLineChars="200"/>
        <w:jc w:val="left"/>
        <w:rPr>
          <w:rFonts w:ascii="彩虹粗仿宋" w:hAnsi="黑体" w:eastAsia="彩虹粗仿宋" w:cs="Arial"/>
          <w:kern w:val="0"/>
          <w:sz w:val="32"/>
          <w:szCs w:val="32"/>
        </w:rPr>
      </w:pPr>
      <w:r>
        <w:rPr>
          <w:rFonts w:hint="eastAsia" w:ascii="彩虹粗仿宋" w:hAnsi="黑体" w:eastAsia="彩虹粗仿宋" w:cs="Arial"/>
          <w:b/>
          <w:kern w:val="0"/>
          <w:sz w:val="32"/>
          <w:szCs w:val="32"/>
        </w:rPr>
        <w:t>政策风险：</w:t>
      </w:r>
      <w:r>
        <w:rPr>
          <w:rFonts w:hint="eastAsia" w:ascii="彩虹粗仿宋" w:hAnsi="黑体" w:eastAsia="彩虹粗仿宋" w:cs="Arial"/>
          <w:kern w:val="0"/>
          <w:sz w:val="32"/>
          <w:szCs w:val="32"/>
        </w:rPr>
        <w:t>本业务是根据现有国家宏观政策、法律法规和监管层的相关规定而开展的，如果相关的国家宏观政策、法律法规或者监管层规定变动而导致本业务整改、暂停、甚至终止将影响到贵单位正常交易，有可能引起贵单位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价格风险：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本业务报价基于国际及国内黄金价格走势、交易头寸情况、市场流动性以及人民币汇率等综合因素，因此国际及国内黄金价格、交易头寸、市场流动性、人民币汇率等因素的波动均将造成对公黄金积存价格波动，可能引起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操作风险：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本业务需要贵单位通过建设银行的交易系统进行交易，贵单位应妥善保管自己参与对公黄金积存业务的交易工具、密码等交易介质及信息，在交易过程中可能因贵单位的操作失误、操作不当等原因引起损失。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流动性风险：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本业务交易受贵金属市场流动性以及本业务交易时间设定的影响，在特殊市场情况下，如上海黄金交易所对应合约涨跌停、黄金市场流动性极度紧张、单笔交易量大于建行银行对应限制条款、对公黄金积存业务发生巨额赎回等，将有可能遇到价差扩大甚至不能交易的情况，从而对贵单位造成不利影响，有可能引起贵单位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黑体" w:eastAsia="彩虹粗仿宋" w:cs="Arial"/>
          <w:b/>
          <w:kern w:val="0"/>
          <w:sz w:val="32"/>
          <w:szCs w:val="32"/>
        </w:rPr>
        <w:t>系统风险：</w:t>
      </w:r>
      <w:r>
        <w:rPr>
          <w:rFonts w:hint="eastAsia" w:ascii="彩虹粗仿宋" w:hAnsi="黑体" w:eastAsia="彩虹粗仿宋" w:cs="Arial"/>
          <w:kern w:val="0"/>
          <w:sz w:val="32"/>
          <w:szCs w:val="32"/>
        </w:rPr>
        <w:t>受通讯故障、非银行原因的系统故障、电力中断等意外事件影响，可能导致贵单位无法进行正常交易，从而可能引起贵单位损失。</w:t>
      </w:r>
    </w:p>
    <w:p>
      <w:pPr>
        <w:spacing w:line="587" w:lineRule="exact"/>
        <w:ind w:firstLine="642" w:firstLineChars="200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黑体" w:eastAsia="彩虹粗仿宋" w:cs="Arial"/>
          <w:b/>
          <w:kern w:val="0"/>
          <w:sz w:val="32"/>
          <w:szCs w:val="32"/>
        </w:rPr>
        <w:t>不可抗力风险：</w:t>
      </w:r>
      <w:r>
        <w:rPr>
          <w:rFonts w:hint="eastAsia" w:ascii="彩虹粗仿宋" w:hAnsi="黑体" w:eastAsia="彩虹粗仿宋" w:cs="Arial"/>
          <w:kern w:val="0"/>
          <w:sz w:val="32"/>
          <w:szCs w:val="32"/>
        </w:rPr>
        <w:t>因自然灾害、战争或者其他国际上各种政治、经济突发事件等不可抗力因素的出现，将严重影响本业务正常运行，可能将导致贵单位无法进行正常交易，从而可能引起贵单位损失。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7" w:lineRule="exact"/>
        <w:ind w:firstLine="642" w:firstLineChars="200"/>
        <w:jc w:val="left"/>
        <w:textAlignment w:val="auto"/>
        <w:rPr>
          <w:rFonts w:hint="eastAsia" w:ascii="彩虹粗仿宋" w:hAnsi="Arial" w:eastAsia="彩虹粗仿宋" w:cs="Arial"/>
          <w:b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贵单位在签署《中国建设银行对公黄金积存业务协议书》或《中国建设银行对公综合服务协议》前，应当仔细阅读本风险揭示书，同时向中国建设银行了解本业务的其他相关信息，并独立做出是否办理本业务的决定。贵单位签署本风险揭示书、业务协议/对公综合服务协议是贵单位真实的意思表示。本风险揭示书及相应的业务协议书/对公综合服务协议将共同构成双方合同的有效组成部分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7" w:lineRule="exact"/>
        <w:ind w:firstLine="642" w:firstLineChars="200"/>
        <w:jc w:val="left"/>
        <w:textAlignment w:val="auto"/>
        <w:rPr>
          <w:rStyle w:val="10"/>
          <w:rFonts w:hint="eastAsia" w:ascii="彩虹粗仿宋" w:hAnsi="Arial" w:eastAsia="彩虹粗仿宋" w:cs="Arial"/>
          <w:b/>
          <w:kern w:val="0"/>
          <w:sz w:val="32"/>
          <w:szCs w:val="32"/>
          <w:highlight w:val="none"/>
        </w:rPr>
      </w:pPr>
      <w:r>
        <w:rPr>
          <w:rStyle w:val="10"/>
          <w:rFonts w:hint="eastAsia" w:ascii="彩虹粗仿宋" w:hAnsi="Arial" w:eastAsia="彩虹粗仿宋" w:cs="Arial"/>
          <w:b/>
          <w:kern w:val="0"/>
          <w:sz w:val="32"/>
          <w:szCs w:val="32"/>
          <w:highlight w:val="none"/>
          <w:lang w:val="en-US" w:eastAsia="zh-CN"/>
        </w:rPr>
        <w:t>如采取柜面无纸化方式签署，</w:t>
      </w:r>
      <w:r>
        <w:rPr>
          <w:rStyle w:val="10"/>
          <w:rFonts w:hint="eastAsia" w:ascii="彩虹粗仿宋" w:hAnsi="Arial" w:eastAsia="彩虹粗仿宋" w:cs="Arial"/>
          <w:b/>
          <w:kern w:val="0"/>
          <w:sz w:val="32"/>
          <w:szCs w:val="32"/>
          <w:highlight w:val="none"/>
        </w:rPr>
        <w:t>本风险揭示书自客户法定代表人（负责人）或授权代理人在柜外清等设备上阅读本</w:t>
      </w:r>
      <w:r>
        <w:rPr>
          <w:rFonts w:hint="eastAsia" w:ascii="彩虹粗仿宋" w:hAnsi="Arial" w:eastAsia="彩虹粗仿宋" w:cs="Arial"/>
          <w:b/>
          <w:kern w:val="0"/>
          <w:sz w:val="32"/>
          <w:szCs w:val="32"/>
          <w:highlight w:val="none"/>
          <w:lang w:val="en-US" w:eastAsia="zh-CN"/>
        </w:rPr>
        <w:t>风险揭示书</w:t>
      </w:r>
      <w:r>
        <w:rPr>
          <w:rStyle w:val="10"/>
          <w:rFonts w:hint="eastAsia" w:ascii="彩虹粗仿宋" w:hAnsi="Arial" w:eastAsia="彩虹粗仿宋" w:cs="Arial"/>
          <w:b/>
          <w:kern w:val="0"/>
          <w:sz w:val="32"/>
          <w:szCs w:val="32"/>
          <w:highlight w:val="none"/>
        </w:rPr>
        <w:t>并点击确认（或其他具同等意义的按钮）之后生效，对客户及中国建设银行具有约束力。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7" w:lineRule="exact"/>
        <w:ind w:firstLine="642" w:firstLineChars="200"/>
        <w:jc w:val="left"/>
        <w:textAlignment w:val="auto"/>
        <w:rPr>
          <w:rStyle w:val="10"/>
          <w:rFonts w:hint="eastAsia" w:ascii="彩虹粗仿宋" w:hAnsi="Arial" w:eastAsia="彩虹粗仿宋" w:cs="Arial"/>
          <w:b/>
          <w:kern w:val="0"/>
          <w:sz w:val="32"/>
          <w:szCs w:val="32"/>
          <w:highlight w:val="none"/>
        </w:rPr>
      </w:pPr>
      <w:r>
        <w:rPr>
          <w:rStyle w:val="10"/>
          <w:rFonts w:hint="eastAsia" w:ascii="彩虹粗仿宋" w:hAnsi="Arial" w:eastAsia="彩虹粗仿宋" w:cs="Arial"/>
          <w:b/>
          <w:kern w:val="0"/>
          <w:sz w:val="32"/>
          <w:szCs w:val="32"/>
          <w:highlight w:val="none"/>
        </w:rPr>
        <w:t>如采取电子方式（包括网上银行、“建行惠懂你”APP等渠道）签约，客户须通过前述渠道在线阅读本权益须知并勾选“已阅读并同意”（或其他具同等意义的按钮）之后生效，对客户及中国建设银行具有约束力。</w:t>
      </w: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b/>
          <w:kern w:val="0"/>
          <w:sz w:val="32"/>
          <w:szCs w:val="32"/>
        </w:rPr>
        <w:t>客户声明：</w:t>
      </w:r>
      <w:r>
        <w:rPr>
          <w:rFonts w:hint="eastAsia" w:ascii="彩虹粗仿宋" w:hAnsi="Arial" w:eastAsia="彩虹粗仿宋" w:cs="Arial"/>
          <w:kern w:val="0"/>
          <w:sz w:val="32"/>
          <w:szCs w:val="32"/>
        </w:rPr>
        <w:t>投资决策完全是由本单位独立、自主、谨慎做出的。本单位已经阅读对公黄金积存业务风险揭示书及协议书所有条款（包括背面），充分理解并自愿承担本产品相关风险。本单位在办理对公黄金积存业务前，已完成风险承受能力评估，且该评估结果具有效力。</w:t>
      </w: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i/>
          <w:kern w:val="0"/>
          <w:sz w:val="32"/>
          <w:szCs w:val="32"/>
        </w:rPr>
      </w:pP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i/>
          <w:kern w:val="0"/>
          <w:sz w:val="32"/>
          <w:szCs w:val="32"/>
        </w:rPr>
        <w:t>（如影响贵</w:t>
      </w:r>
      <w:r>
        <w:rPr>
          <w:rFonts w:hint="eastAsia" w:ascii="彩虹粗仿宋" w:hAnsi="Arial" w:eastAsia="彩虹粗仿宋" w:cs="Arial"/>
          <w:i/>
          <w:iCs/>
          <w:kern w:val="0"/>
          <w:sz w:val="32"/>
          <w:szCs w:val="32"/>
        </w:rPr>
        <w:t>单位</w:t>
      </w:r>
      <w:r>
        <w:rPr>
          <w:rFonts w:hint="eastAsia" w:ascii="彩虹粗仿宋" w:hAnsi="Arial" w:eastAsia="彩虹粗仿宋" w:cs="Arial"/>
          <w:i/>
          <w:kern w:val="0"/>
          <w:sz w:val="32"/>
          <w:szCs w:val="32"/>
        </w:rPr>
        <w:t>风险承受能力的因素发生变化，请及时完成风险承受能力评估）</w:t>
      </w: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</w:rPr>
        <w:t>本单位风险承受能力评级：______（由客户自行填写）</w:t>
      </w: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widowControl/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</w:rPr>
        <w:t>根据监管部门的要求，为确保客户充分理解本产品的风险，请在确认栏抄录以下语句</w:t>
      </w: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pStyle w:val="3"/>
        <w:spacing w:line="587" w:lineRule="exact"/>
        <w:jc w:val="left"/>
        <w:rPr>
          <w:rFonts w:ascii="彩虹粗仿宋" w:eastAsia="彩虹粗仿宋"/>
          <w:b/>
          <w:bCs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我单位已经阅读风险揭示，愿意承担投资风险。</w:t>
      </w: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</w:p>
    <w:p>
      <w:pPr>
        <w:spacing w:line="587" w:lineRule="exact"/>
        <w:jc w:val="left"/>
        <w:rPr>
          <w:rFonts w:ascii="彩虹粗仿宋" w:hAnsi="Arial" w:eastAsia="彩虹粗仿宋" w:cs="Arial"/>
          <w:kern w:val="0"/>
          <w:sz w:val="32"/>
          <w:szCs w:val="32"/>
        </w:rPr>
      </w:pPr>
      <w:r>
        <w:rPr>
          <w:rFonts w:hint="eastAsia" w:ascii="彩虹粗仿宋" w:hAnsi="Arial" w:eastAsia="彩虹粗仿宋" w:cs="Arial"/>
          <w:kern w:val="0"/>
          <w:sz w:val="32"/>
          <w:szCs w:val="32"/>
        </w:rPr>
        <w:t xml:space="preserve">客户抄录：                                          </w:t>
      </w:r>
    </w:p>
    <w:p>
      <w:pPr>
        <w:widowControl/>
        <w:spacing w:line="587" w:lineRule="exact"/>
        <w:jc w:val="left"/>
        <w:rPr>
          <w:rFonts w:ascii="彩虹粗仿宋" w:eastAsia="彩虹粗仿宋"/>
          <w:snapToGrid w:val="0"/>
          <w:color w:val="000000"/>
          <w:sz w:val="22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-人口信息-P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方正宋体-人口信息-P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宋体-人口信息">
    <w:panose1 w:val="02000000000000000000"/>
    <w:charset w:val="86"/>
    <w:family w:val="auto"/>
    <w:pitch w:val="default"/>
    <w:sig w:usb0="A00002BF" w:usb1="38CFFCFA" w:usb2="00000016" w:usb3="00000008" w:csb0="6004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FC"/>
    <w:rsid w:val="000A12B8"/>
    <w:rsid w:val="000D65D3"/>
    <w:rsid w:val="000E2D04"/>
    <w:rsid w:val="00160724"/>
    <w:rsid w:val="001978AB"/>
    <w:rsid w:val="001B5A4B"/>
    <w:rsid w:val="0020611A"/>
    <w:rsid w:val="002430E6"/>
    <w:rsid w:val="002721C0"/>
    <w:rsid w:val="002864AE"/>
    <w:rsid w:val="00296FA1"/>
    <w:rsid w:val="002C7D5D"/>
    <w:rsid w:val="00311C8C"/>
    <w:rsid w:val="00314AE9"/>
    <w:rsid w:val="003700DD"/>
    <w:rsid w:val="003858D9"/>
    <w:rsid w:val="004B137B"/>
    <w:rsid w:val="004C5DCA"/>
    <w:rsid w:val="00502E99"/>
    <w:rsid w:val="00526F08"/>
    <w:rsid w:val="00532D9E"/>
    <w:rsid w:val="005A64FB"/>
    <w:rsid w:val="0060009B"/>
    <w:rsid w:val="00614DC2"/>
    <w:rsid w:val="00634DAF"/>
    <w:rsid w:val="00654E11"/>
    <w:rsid w:val="00664A30"/>
    <w:rsid w:val="006A6E96"/>
    <w:rsid w:val="00724203"/>
    <w:rsid w:val="00730865"/>
    <w:rsid w:val="00780217"/>
    <w:rsid w:val="008512FC"/>
    <w:rsid w:val="00874BBC"/>
    <w:rsid w:val="008838CB"/>
    <w:rsid w:val="0089796C"/>
    <w:rsid w:val="008C2B4B"/>
    <w:rsid w:val="008D11E9"/>
    <w:rsid w:val="008D54E5"/>
    <w:rsid w:val="009B6FA5"/>
    <w:rsid w:val="00A11827"/>
    <w:rsid w:val="00AF27E5"/>
    <w:rsid w:val="00B371F1"/>
    <w:rsid w:val="00B4635D"/>
    <w:rsid w:val="00B6730A"/>
    <w:rsid w:val="00B73E58"/>
    <w:rsid w:val="00BE488C"/>
    <w:rsid w:val="00BE7AD3"/>
    <w:rsid w:val="00C522D4"/>
    <w:rsid w:val="00C70DD5"/>
    <w:rsid w:val="00C801D0"/>
    <w:rsid w:val="00C9436A"/>
    <w:rsid w:val="00C97F8C"/>
    <w:rsid w:val="00D95D45"/>
    <w:rsid w:val="00DB61C4"/>
    <w:rsid w:val="00DC7ED4"/>
    <w:rsid w:val="00DF036C"/>
    <w:rsid w:val="00DF75C5"/>
    <w:rsid w:val="00E20F88"/>
    <w:rsid w:val="00EF45A7"/>
    <w:rsid w:val="00F50D53"/>
    <w:rsid w:val="00F813D2"/>
    <w:rsid w:val="00FA5EB5"/>
    <w:rsid w:val="06F95E12"/>
    <w:rsid w:val="0B334CDA"/>
    <w:rsid w:val="0E2051F0"/>
    <w:rsid w:val="10BE6AB1"/>
    <w:rsid w:val="17BD2B20"/>
    <w:rsid w:val="1B5620CE"/>
    <w:rsid w:val="1C800C66"/>
    <w:rsid w:val="218A3ED4"/>
    <w:rsid w:val="223E4CF5"/>
    <w:rsid w:val="282923C5"/>
    <w:rsid w:val="300E61D8"/>
    <w:rsid w:val="31BE7F53"/>
    <w:rsid w:val="375A6BA1"/>
    <w:rsid w:val="42D76C50"/>
    <w:rsid w:val="45E04966"/>
    <w:rsid w:val="495A7862"/>
    <w:rsid w:val="4FF81384"/>
    <w:rsid w:val="5DB375BA"/>
    <w:rsid w:val="610468A2"/>
    <w:rsid w:val="62FA50E8"/>
    <w:rsid w:val="657C355B"/>
    <w:rsid w:val="66384B5F"/>
    <w:rsid w:val="686339D5"/>
    <w:rsid w:val="6DEA75C3"/>
    <w:rsid w:val="70A072D3"/>
    <w:rsid w:val="72D13370"/>
    <w:rsid w:val="7C57055A"/>
    <w:rsid w:val="DCF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5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正文文本缩进 字符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字符"/>
    <w:basedOn w:val="16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ccb.com</Company>
  <Pages>4</Pages>
  <Words>198</Words>
  <Characters>1133</Characters>
  <Lines>9</Lines>
  <Paragraphs>2</Paragraphs>
  <TotalTime>42</TotalTime>
  <ScaleCrop>false</ScaleCrop>
  <LinksUpToDate>false</LinksUpToDate>
  <CharactersWithSpaces>1329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2024-08-21T15:11:00Z</dcterms:created>
  <dc:creator>刘凯</dc:creator>
  <cp:lastModifiedBy>栗小然</cp:lastModifiedBy>
  <dcterms:modified xsi:type="dcterms:W3CDTF">2026-07-29T10:26:52Z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E3FD0E05A01B45ABB280EF0270368113_12</vt:lpwstr>
  </property>
</Properties>
</file>