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E9" w:rsidRPr="00E856EC" w:rsidRDefault="001A3BE9" w:rsidP="001A3BE9">
      <w:pPr>
        <w:jc w:val="center"/>
        <w:rPr>
          <w:rFonts w:ascii="彩虹小标宋" w:eastAsia="彩虹小标宋" w:hAnsi="Calibri"/>
          <w:sz w:val="44"/>
          <w:szCs w:val="44"/>
        </w:rPr>
      </w:pPr>
      <w:r w:rsidRPr="00E856EC">
        <w:rPr>
          <w:rFonts w:ascii="彩虹小标宋" w:eastAsia="彩虹小标宋" w:hAnsi="Calibri" w:hint="eastAsia"/>
          <w:sz w:val="44"/>
          <w:szCs w:val="44"/>
        </w:rPr>
        <w:t>关于发行“龙卡旅行通</w:t>
      </w:r>
      <w:r w:rsidR="00797A21" w:rsidRPr="00E856EC">
        <w:rPr>
          <w:rFonts w:ascii="彩虹小标宋" w:eastAsia="彩虹小标宋" w:hAnsi="Calibri" w:hint="eastAsia"/>
          <w:sz w:val="44"/>
          <w:szCs w:val="44"/>
        </w:rPr>
        <w:t>卡</w:t>
      </w:r>
      <w:r w:rsidRPr="00E856EC">
        <w:rPr>
          <w:rFonts w:ascii="彩虹小标宋" w:eastAsia="彩虹小标宋" w:hAnsi="Calibri" w:hint="eastAsia"/>
          <w:sz w:val="44"/>
          <w:szCs w:val="44"/>
        </w:rPr>
        <w:t>”的公告</w:t>
      </w:r>
    </w:p>
    <w:p w:rsidR="00E856EC" w:rsidRDefault="00E856EC" w:rsidP="00E856EC">
      <w:pPr>
        <w:spacing w:line="360" w:lineRule="auto"/>
        <w:rPr>
          <w:rFonts w:ascii="彩虹粗仿宋" w:eastAsia="彩虹粗仿宋" w:hAnsi="Calibri"/>
          <w:sz w:val="32"/>
          <w:szCs w:val="32"/>
        </w:rPr>
      </w:pPr>
    </w:p>
    <w:p w:rsidR="001A3BE9" w:rsidRDefault="001A3BE9" w:rsidP="00E856EC">
      <w:pPr>
        <w:spacing w:line="360" w:lineRule="auto"/>
        <w:rPr>
          <w:rFonts w:ascii="彩虹粗仿宋" w:eastAsia="彩虹粗仿宋" w:hAnsi="Calibri"/>
          <w:sz w:val="32"/>
          <w:szCs w:val="32"/>
        </w:rPr>
      </w:pPr>
      <w:r>
        <w:rPr>
          <w:rFonts w:ascii="彩虹粗仿宋" w:eastAsia="彩虹粗仿宋" w:hAnsi="Calibri" w:hint="eastAsia"/>
          <w:sz w:val="32"/>
          <w:szCs w:val="32"/>
        </w:rPr>
        <w:t>尊敬的客户：</w:t>
      </w:r>
    </w:p>
    <w:p w:rsidR="000A1E46" w:rsidRDefault="001A3BE9" w:rsidP="00E856EC">
      <w:pPr>
        <w:spacing w:line="360" w:lineRule="auto"/>
        <w:ind w:firstLineChars="200" w:firstLine="640"/>
        <w:rPr>
          <w:rFonts w:ascii="彩虹粗仿宋" w:eastAsia="彩虹粗仿宋"/>
          <w:sz w:val="32"/>
        </w:rPr>
      </w:pPr>
      <w:r>
        <w:rPr>
          <w:rFonts w:ascii="彩虹粗仿宋" w:eastAsia="彩虹粗仿宋" w:hAnsi="Calibri" w:hint="eastAsia"/>
          <w:sz w:val="32"/>
          <w:szCs w:val="32"/>
        </w:rPr>
        <w:t>为贯彻</w:t>
      </w:r>
      <w:r>
        <w:rPr>
          <w:rFonts w:ascii="彩虹粗仿宋" w:eastAsia="彩虹粗仿宋" w:hint="eastAsia"/>
          <w:sz w:val="32"/>
        </w:rPr>
        <w:t>落实人民银行关于提升境外人员在我国境内移动支付服务便利化水平的要求，履行大行责任，</w:t>
      </w:r>
      <w:proofErr w:type="gramStart"/>
      <w:r>
        <w:rPr>
          <w:rFonts w:ascii="彩虹粗仿宋" w:eastAsia="彩虹粗仿宋" w:hint="eastAsia"/>
          <w:sz w:val="32"/>
        </w:rPr>
        <w:t>践行</w:t>
      </w:r>
      <w:proofErr w:type="gramEnd"/>
      <w:r>
        <w:rPr>
          <w:rFonts w:ascii="彩虹粗仿宋" w:eastAsia="彩虹粗仿宋" w:hint="eastAsia"/>
          <w:sz w:val="32"/>
        </w:rPr>
        <w:t>为民服务，近期我行与银联共同协商，借鉴市场现有试点模式，面向境外人员推出“龙卡旅行通卡”产品，便利境外客户在我国境内日常支付需求。</w:t>
      </w:r>
    </w:p>
    <w:p w:rsidR="001A3BE9" w:rsidRPr="001A3BE9" w:rsidRDefault="001A3BE9" w:rsidP="00E856EC">
      <w:pPr>
        <w:widowControl/>
        <w:adjustRightInd w:val="0"/>
        <w:spacing w:line="360" w:lineRule="auto"/>
        <w:ind w:firstLineChars="200" w:firstLine="640"/>
        <w:jc w:val="left"/>
        <w:rPr>
          <w:rFonts w:ascii="彩虹黑体" w:eastAsia="彩虹黑体" w:hAnsi="宋体" w:cs="宋体"/>
          <w:kern w:val="0"/>
          <w:sz w:val="24"/>
          <w:szCs w:val="24"/>
        </w:rPr>
      </w:pPr>
      <w:r w:rsidRPr="001A3BE9">
        <w:rPr>
          <w:rFonts w:ascii="彩虹黑体" w:eastAsia="彩虹黑体" w:hAnsi="宋体" w:cs="宋体" w:hint="eastAsia"/>
          <w:bCs/>
          <w:kern w:val="0"/>
          <w:sz w:val="32"/>
          <w:szCs w:val="32"/>
        </w:rPr>
        <w:t>一、</w:t>
      </w:r>
      <w:r w:rsidR="00E856EC" w:rsidRPr="00E856EC">
        <w:rPr>
          <w:rFonts w:ascii="彩虹黑体" w:eastAsia="彩虹黑体" w:hAnsi="宋体" w:cs="宋体" w:hint="eastAsia"/>
          <w:bCs/>
          <w:kern w:val="0"/>
          <w:sz w:val="32"/>
          <w:szCs w:val="32"/>
        </w:rPr>
        <w:t>产品信息</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24"/>
          <w:szCs w:val="24"/>
        </w:rPr>
      </w:pPr>
      <w:r w:rsidRPr="001A3BE9">
        <w:rPr>
          <w:rFonts w:ascii="彩虹楷体" w:eastAsia="彩虹楷体" w:hAnsi="宋体" w:cs="宋体" w:hint="eastAsia"/>
          <w:b/>
          <w:kern w:val="0"/>
          <w:sz w:val="32"/>
          <w:szCs w:val="32"/>
        </w:rPr>
        <w:t>（一）产品基本规则</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ascii="彩虹粗仿宋" w:eastAsia="彩虹粗仿宋" w:hAnsi="宋体" w:cs="宋体" w:hint="eastAsia"/>
          <w:kern w:val="0"/>
          <w:sz w:val="32"/>
          <w:szCs w:val="32"/>
        </w:rPr>
        <w:t>1.</w:t>
      </w:r>
      <w:r w:rsidRPr="001A3BE9">
        <w:rPr>
          <w:rFonts w:eastAsia="彩虹粗仿宋" w:hAnsi="宋体" w:cs="宋体" w:hint="eastAsia"/>
          <w:kern w:val="0"/>
          <w:sz w:val="32"/>
          <w:szCs w:val="32"/>
        </w:rPr>
        <w:t>“龙卡旅行通卡”</w:t>
      </w:r>
      <w:r w:rsidRPr="001A3BE9">
        <w:rPr>
          <w:rFonts w:ascii="彩虹粗仿宋" w:eastAsia="彩虹粗仿宋" w:hAnsi="宋体" w:cs="宋体" w:hint="eastAsia"/>
          <w:kern w:val="0"/>
          <w:sz w:val="32"/>
          <w:szCs w:val="32"/>
        </w:rPr>
        <w:t>是以</w:t>
      </w:r>
      <w:r w:rsidRPr="001A3BE9">
        <w:rPr>
          <w:rFonts w:ascii="彩虹粗仿宋" w:eastAsia="彩虹粗仿宋" w:hAnsi="等线" w:cs="宋体" w:hint="eastAsia"/>
          <w:kern w:val="0"/>
          <w:sz w:val="32"/>
          <w:szCs w:val="32"/>
        </w:rPr>
        <w:t>我行龙卡通为</w:t>
      </w:r>
      <w:r w:rsidRPr="001A3BE9">
        <w:rPr>
          <w:rFonts w:ascii="彩虹粗仿宋" w:eastAsia="彩虹粗仿宋" w:hAnsi="宋体" w:cs="宋体" w:hint="eastAsia"/>
          <w:kern w:val="0"/>
          <w:sz w:val="32"/>
          <w:szCs w:val="32"/>
        </w:rPr>
        <w:t>基础设计的预付卡产品,介质采用复合IC卡,卡BIN为620525，根据面值不同共发行三类可</w:t>
      </w:r>
      <w:r w:rsidRPr="001A3BE9">
        <w:rPr>
          <w:rFonts w:ascii="彩虹粗仿宋" w:eastAsia="彩虹粗仿宋" w:hAnsi="宋体" w:cs="宋体" w:hint="eastAsia"/>
          <w:color w:val="000000" w:themeColor="text1"/>
          <w:kern w:val="0"/>
          <w:sz w:val="32"/>
          <w:szCs w:val="32"/>
        </w:rPr>
        <w:t>售产品，</w:t>
      </w:r>
      <w:proofErr w:type="gramStart"/>
      <w:r w:rsidRPr="001A3BE9">
        <w:rPr>
          <w:rFonts w:ascii="彩虹粗仿宋" w:eastAsia="彩虹粗仿宋" w:hAnsi="宋体" w:cs="宋体" w:hint="eastAsia"/>
          <w:color w:val="000000" w:themeColor="text1"/>
          <w:kern w:val="0"/>
          <w:sz w:val="32"/>
          <w:szCs w:val="32"/>
        </w:rPr>
        <w:t>使用国密算法</w:t>
      </w:r>
      <w:proofErr w:type="gramEnd"/>
      <w:r w:rsidRPr="001A3BE9">
        <w:rPr>
          <w:rFonts w:ascii="彩虹粗仿宋" w:eastAsia="彩虹粗仿宋" w:hAnsi="宋体" w:cs="宋体" w:hint="eastAsia"/>
          <w:kern w:val="0"/>
          <w:sz w:val="32"/>
          <w:szCs w:val="32"/>
        </w:rPr>
        <w:t>国产芯片，卡面采用平面印刷。</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ascii="彩虹粗仿宋" w:eastAsia="彩虹粗仿宋" w:hAnsi="宋体" w:cs="宋体" w:hint="eastAsia"/>
          <w:kern w:val="0"/>
          <w:sz w:val="32"/>
          <w:szCs w:val="32"/>
        </w:rPr>
        <w:t>2.</w:t>
      </w:r>
      <w:r w:rsidRPr="001A3BE9">
        <w:rPr>
          <w:rFonts w:eastAsia="彩虹粗仿宋" w:hAnsi="宋体" w:cs="宋体" w:hint="eastAsia"/>
          <w:kern w:val="0"/>
          <w:sz w:val="32"/>
          <w:szCs w:val="32"/>
        </w:rPr>
        <w:t>“龙卡旅行通卡”卡内资金仅可以在开卡时一次性充入，仅</w:t>
      </w:r>
      <w:r w:rsidRPr="001A3BE9">
        <w:rPr>
          <w:rFonts w:ascii="彩虹粗仿宋" w:eastAsia="彩虹粗仿宋" w:hAnsi="宋体" w:cs="宋体" w:hint="eastAsia"/>
          <w:kern w:val="0"/>
          <w:sz w:val="32"/>
          <w:szCs w:val="32"/>
        </w:rPr>
        <w:t>具有境内消费功能，可与银联</w:t>
      </w:r>
      <w:proofErr w:type="gramStart"/>
      <w:r w:rsidRPr="001A3BE9">
        <w:rPr>
          <w:rFonts w:ascii="彩虹粗仿宋" w:eastAsia="彩虹粗仿宋" w:hAnsi="宋体" w:cs="宋体" w:hint="eastAsia"/>
          <w:kern w:val="0"/>
          <w:sz w:val="32"/>
          <w:szCs w:val="32"/>
        </w:rPr>
        <w:t>云闪付</w:t>
      </w:r>
      <w:proofErr w:type="gramEnd"/>
      <w:r w:rsidRPr="001A3BE9">
        <w:rPr>
          <w:rFonts w:ascii="彩虹粗仿宋" w:eastAsia="彩虹粗仿宋" w:hAnsi="宋体" w:cs="宋体" w:hint="eastAsia"/>
          <w:kern w:val="0"/>
          <w:sz w:val="32"/>
          <w:szCs w:val="32"/>
        </w:rPr>
        <w:t>APP相结合，与中国银联合作共同为入境客户提供生活类权益。</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ascii="彩虹粗仿宋" w:eastAsia="彩虹粗仿宋" w:hAnsi="宋体" w:cs="宋体" w:hint="eastAsia"/>
          <w:kern w:val="0"/>
          <w:sz w:val="32"/>
          <w:szCs w:val="32"/>
        </w:rPr>
        <w:t>3.</w:t>
      </w:r>
      <w:r w:rsidRPr="001A3BE9">
        <w:rPr>
          <w:rFonts w:eastAsia="彩虹粗仿宋" w:hAnsi="宋体" w:cs="宋体" w:hint="eastAsia"/>
          <w:kern w:val="0"/>
          <w:sz w:val="32"/>
          <w:szCs w:val="32"/>
        </w:rPr>
        <w:t>“龙卡旅行通卡”</w:t>
      </w:r>
      <w:r w:rsidRPr="001A3BE9">
        <w:rPr>
          <w:rFonts w:ascii="彩虹粗仿宋" w:eastAsia="彩虹粗仿宋" w:hAnsi="宋体" w:cs="宋体" w:hint="eastAsia"/>
          <w:kern w:val="0"/>
          <w:sz w:val="32"/>
          <w:szCs w:val="32"/>
        </w:rPr>
        <w:t>采用总行统一产品，试点地区开展的方式发行，</w:t>
      </w:r>
      <w:r w:rsidRPr="00EA2A96">
        <w:rPr>
          <w:rFonts w:ascii="彩虹粗仿宋" w:eastAsia="彩虹粗仿宋" w:hAnsi="宋体" w:cs="宋体" w:hint="eastAsia"/>
          <w:kern w:val="0"/>
          <w:sz w:val="32"/>
          <w:szCs w:val="32"/>
        </w:rPr>
        <w:t>试点期为</w:t>
      </w:r>
      <w:r w:rsidR="00E856EC" w:rsidRPr="00EA2A96">
        <w:rPr>
          <w:rFonts w:ascii="彩虹粗仿宋" w:eastAsia="彩虹粗仿宋" w:hAnsi="宋体" w:cs="宋体" w:hint="eastAsia"/>
          <w:kern w:val="0"/>
          <w:sz w:val="32"/>
          <w:szCs w:val="32"/>
        </w:rPr>
        <w:t>2021</w:t>
      </w:r>
      <w:r w:rsidRPr="00EA2A96">
        <w:rPr>
          <w:rFonts w:ascii="彩虹粗仿宋" w:eastAsia="彩虹粗仿宋" w:hAnsi="宋体" w:cs="宋体" w:hint="eastAsia"/>
          <w:kern w:val="0"/>
          <w:sz w:val="32"/>
          <w:szCs w:val="32"/>
        </w:rPr>
        <w:t>年</w:t>
      </w:r>
      <w:r w:rsidR="00E856EC" w:rsidRPr="00EA2A96">
        <w:rPr>
          <w:rFonts w:ascii="彩虹粗仿宋" w:eastAsia="彩虹粗仿宋" w:hAnsi="宋体" w:cs="宋体" w:hint="eastAsia"/>
          <w:kern w:val="0"/>
          <w:sz w:val="32"/>
          <w:szCs w:val="32"/>
        </w:rPr>
        <w:t>4</w:t>
      </w:r>
      <w:r w:rsidRPr="00EA2A96">
        <w:rPr>
          <w:rFonts w:ascii="彩虹粗仿宋" w:eastAsia="彩虹粗仿宋" w:hAnsi="宋体" w:cs="宋体" w:hint="eastAsia"/>
          <w:kern w:val="0"/>
          <w:sz w:val="32"/>
          <w:szCs w:val="32"/>
        </w:rPr>
        <w:t>月</w:t>
      </w:r>
      <w:r w:rsidR="00EA2A96" w:rsidRPr="00EA2A96">
        <w:rPr>
          <w:rFonts w:ascii="彩虹粗仿宋" w:eastAsia="彩虹粗仿宋" w:hAnsi="宋体" w:cs="宋体" w:hint="eastAsia"/>
          <w:kern w:val="0"/>
          <w:sz w:val="32"/>
          <w:szCs w:val="32"/>
        </w:rPr>
        <w:t>16</w:t>
      </w:r>
      <w:r w:rsidR="00E856EC" w:rsidRPr="00EA2A96">
        <w:rPr>
          <w:rFonts w:ascii="彩虹粗仿宋" w:eastAsia="彩虹粗仿宋" w:hAnsi="宋体" w:cs="宋体" w:hint="eastAsia"/>
          <w:kern w:val="0"/>
          <w:sz w:val="32"/>
          <w:szCs w:val="32"/>
        </w:rPr>
        <w:t>日</w:t>
      </w:r>
      <w:r w:rsidRPr="00EA2A96">
        <w:rPr>
          <w:rFonts w:ascii="彩虹粗仿宋" w:eastAsia="彩虹粗仿宋" w:hAnsi="宋体" w:cs="宋体" w:hint="eastAsia"/>
          <w:kern w:val="0"/>
          <w:sz w:val="32"/>
          <w:szCs w:val="32"/>
        </w:rPr>
        <w:t>至2021年11月1日。</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（二）卡片样式</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ascii="彩虹粗仿宋" w:eastAsia="彩虹粗仿宋" w:hAnsi="宋体" w:cs="宋体" w:hint="eastAsia"/>
          <w:kern w:val="0"/>
          <w:sz w:val="32"/>
          <w:szCs w:val="32"/>
        </w:rPr>
        <w:lastRenderedPageBreak/>
        <w:t>本次发行的</w:t>
      </w:r>
      <w:r w:rsidRPr="001A3BE9">
        <w:rPr>
          <w:rFonts w:eastAsia="彩虹粗仿宋" w:hAnsi="宋体" w:cs="宋体" w:hint="eastAsia"/>
          <w:kern w:val="0"/>
          <w:sz w:val="32"/>
          <w:szCs w:val="32"/>
        </w:rPr>
        <w:t>“龙卡旅行通卡”</w:t>
      </w:r>
      <w:r w:rsidRPr="001A3BE9">
        <w:rPr>
          <w:rFonts w:ascii="彩虹粗仿宋" w:eastAsia="彩虹粗仿宋" w:hAnsi="宋体" w:cs="宋体" w:hint="eastAsia"/>
          <w:kern w:val="0"/>
          <w:sz w:val="32"/>
          <w:szCs w:val="32"/>
        </w:rPr>
        <w:t>采用总行统一版面。卡面正面有统一的“e</w:t>
      </w:r>
      <w:r w:rsidRPr="001A3BE9">
        <w:rPr>
          <w:rFonts w:ascii="Calibri" w:eastAsia="彩虹粗仿宋" w:hAnsi="Calibri" w:cs="Calibri"/>
          <w:kern w:val="0"/>
          <w:sz w:val="32"/>
          <w:szCs w:val="32"/>
        </w:rPr>
        <w:t xml:space="preserve"> </w:t>
      </w:r>
      <w:r w:rsidRPr="001A3BE9">
        <w:rPr>
          <w:rFonts w:ascii="彩虹粗仿宋" w:eastAsia="彩虹粗仿宋" w:hAnsi="宋体" w:cs="宋体" w:hint="eastAsia"/>
          <w:kern w:val="0"/>
          <w:sz w:val="32"/>
          <w:szCs w:val="32"/>
        </w:rPr>
        <w:t>Money”标识。</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（三）发卡对象</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Pr>
          <w:rFonts w:ascii="彩虹粗仿宋" w:eastAsia="彩虹粗仿宋" w:hAnsi="Calibri" w:cs="宋体" w:hint="eastAsia"/>
          <w:kern w:val="0"/>
          <w:sz w:val="32"/>
          <w:szCs w:val="32"/>
        </w:rPr>
        <w:t>本产品面向日韩短期游客入境人群进行发卡，不</w:t>
      </w:r>
      <w:r w:rsidRPr="001A3BE9">
        <w:rPr>
          <w:rFonts w:ascii="彩虹粗仿宋" w:eastAsia="彩虹粗仿宋" w:hAnsi="Calibri" w:cs="宋体" w:hint="eastAsia"/>
          <w:kern w:val="0"/>
          <w:sz w:val="32"/>
          <w:szCs w:val="32"/>
        </w:rPr>
        <w:t>面向境内人士及其他地区的境外人士发卡。</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（四）申办方式</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ascii="彩虹粗仿宋" w:eastAsia="彩虹粗仿宋" w:hAnsi="Calibri" w:cs="宋体" w:hint="eastAsia"/>
          <w:kern w:val="0"/>
          <w:sz w:val="32"/>
          <w:szCs w:val="32"/>
        </w:rPr>
        <w:t>申办</w:t>
      </w:r>
      <w:r w:rsidRPr="001A3BE9">
        <w:rPr>
          <w:rFonts w:eastAsia="彩虹粗仿宋" w:hAnsi="宋体" w:cs="宋体" w:hint="eastAsia"/>
          <w:kern w:val="0"/>
          <w:sz w:val="32"/>
          <w:szCs w:val="32"/>
        </w:rPr>
        <w:t>“龙卡旅行通卡”</w:t>
      </w:r>
      <w:r w:rsidRPr="001A3BE9">
        <w:rPr>
          <w:rFonts w:ascii="彩虹粗仿宋" w:eastAsia="彩虹粗仿宋" w:hAnsi="Calibri" w:cs="宋体" w:hint="eastAsia"/>
          <w:kern w:val="0"/>
          <w:sz w:val="32"/>
          <w:szCs w:val="32"/>
        </w:rPr>
        <w:t>，</w:t>
      </w:r>
      <w:r>
        <w:rPr>
          <w:rFonts w:ascii="彩虹粗仿宋" w:eastAsia="彩虹粗仿宋" w:hAnsi="Calibri" w:cs="宋体" w:hint="eastAsia"/>
          <w:kern w:val="0"/>
          <w:sz w:val="32"/>
          <w:szCs w:val="32"/>
        </w:rPr>
        <w:t>需要符合以下条件：</w:t>
      </w:r>
      <w:r w:rsidRPr="001A3BE9">
        <w:rPr>
          <w:rFonts w:ascii="彩虹粗仿宋" w:eastAsia="彩虹粗仿宋" w:hAnsi="Calibri" w:cs="宋体" w:hint="eastAsia"/>
          <w:kern w:val="0"/>
          <w:sz w:val="32"/>
          <w:szCs w:val="32"/>
        </w:rPr>
        <w:t>一是客户需持护照或其他有效证件进行办理；二是客户仅限日韩短期游客；三是客户在办理时需要通过手机短信进行验证，如客户持有境外手机号码可能由于运营商支持的问题，导致无法获取验证码信息，建议客户通过境内手机号办理业务。</w:t>
      </w:r>
    </w:p>
    <w:p w:rsidR="001A3BE9" w:rsidRPr="001A3BE9" w:rsidRDefault="00E856EC" w:rsidP="00E856EC">
      <w:pPr>
        <w:widowControl/>
        <w:adjustRightInd w:val="0"/>
        <w:spacing w:line="360" w:lineRule="auto"/>
        <w:ind w:firstLineChars="200" w:firstLine="643"/>
        <w:jc w:val="left"/>
        <w:rPr>
          <w:rFonts w:ascii="彩虹楷体" w:eastAsia="彩虹楷体" w:hAnsi="宋体" w:cs="宋体"/>
          <w:b/>
          <w:kern w:val="0"/>
          <w:sz w:val="32"/>
          <w:szCs w:val="32"/>
        </w:rPr>
      </w:pPr>
      <w:r w:rsidRPr="00E856EC">
        <w:rPr>
          <w:rFonts w:ascii="彩虹楷体" w:eastAsia="彩虹楷体" w:hAnsi="宋体" w:cs="宋体" w:hint="eastAsia"/>
          <w:b/>
          <w:kern w:val="0"/>
          <w:sz w:val="32"/>
          <w:szCs w:val="32"/>
        </w:rPr>
        <w:t>（五）</w:t>
      </w:r>
      <w:r w:rsidR="001A3BE9" w:rsidRPr="001A3BE9">
        <w:rPr>
          <w:rFonts w:ascii="彩虹楷体" w:eastAsia="彩虹楷体" w:hAnsi="宋体" w:cs="宋体" w:hint="eastAsia"/>
          <w:b/>
          <w:kern w:val="0"/>
          <w:sz w:val="32"/>
          <w:szCs w:val="32"/>
        </w:rPr>
        <w:t>服务价格</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eastAsia="彩虹粗仿宋" w:hAnsi="宋体" w:cs="宋体" w:hint="eastAsia"/>
          <w:kern w:val="0"/>
          <w:sz w:val="32"/>
          <w:szCs w:val="32"/>
        </w:rPr>
        <w:t>“龙卡旅行通卡”</w:t>
      </w:r>
      <w:r w:rsidRPr="001A3BE9">
        <w:rPr>
          <w:rFonts w:ascii="彩虹粗仿宋" w:eastAsia="彩虹粗仿宋" w:hAnsi="Calibri" w:cs="宋体" w:hint="eastAsia"/>
          <w:kern w:val="0"/>
          <w:sz w:val="32"/>
          <w:szCs w:val="32"/>
        </w:rPr>
        <w:t>免收卡年费、小额账户管理费，</w:t>
      </w:r>
      <w:r w:rsidRPr="001A3BE9">
        <w:rPr>
          <w:rFonts w:ascii="彩虹粗仿宋" w:eastAsia="彩虹粗仿宋" w:hAnsi="宋体" w:cs="宋体" w:hint="eastAsia"/>
          <w:kern w:val="0"/>
          <w:sz w:val="32"/>
        </w:rPr>
        <w:t>工本费5元/张</w:t>
      </w:r>
      <w:r w:rsidR="00E856EC">
        <w:rPr>
          <w:rFonts w:ascii="彩虹粗仿宋" w:eastAsia="彩虹粗仿宋" w:hAnsi="宋体" w:cs="宋体" w:hint="eastAsia"/>
          <w:kern w:val="0"/>
          <w:sz w:val="32"/>
        </w:rPr>
        <w:t>，</w:t>
      </w:r>
      <w:r w:rsidRPr="001A3BE9">
        <w:rPr>
          <w:rFonts w:ascii="彩虹粗仿宋" w:eastAsia="彩虹粗仿宋" w:hAnsi="宋体" w:cs="宋体" w:hint="eastAsia"/>
          <w:kern w:val="0"/>
          <w:sz w:val="32"/>
        </w:rPr>
        <w:t>本卡不可开通短信服务。</w:t>
      </w:r>
    </w:p>
    <w:p w:rsidR="001A3BE9" w:rsidRPr="001A3BE9" w:rsidRDefault="00E856EC" w:rsidP="00E856EC">
      <w:pPr>
        <w:widowControl/>
        <w:adjustRightInd w:val="0"/>
        <w:spacing w:line="360" w:lineRule="auto"/>
        <w:ind w:firstLineChars="200" w:firstLine="640"/>
        <w:jc w:val="left"/>
        <w:rPr>
          <w:rFonts w:ascii="彩虹黑体" w:eastAsia="彩虹黑体" w:hAnsi="宋体" w:cs="宋体"/>
          <w:bCs/>
          <w:kern w:val="0"/>
          <w:sz w:val="32"/>
          <w:szCs w:val="32"/>
        </w:rPr>
      </w:pPr>
      <w:r w:rsidRPr="00E856EC">
        <w:rPr>
          <w:rFonts w:ascii="彩虹黑体" w:eastAsia="彩虹黑体" w:hAnsi="宋体" w:cs="宋体" w:hint="eastAsia"/>
          <w:bCs/>
          <w:kern w:val="0"/>
          <w:sz w:val="32"/>
          <w:szCs w:val="32"/>
        </w:rPr>
        <w:t>二、发行安排</w:t>
      </w:r>
    </w:p>
    <w:p w:rsidR="00E856EC" w:rsidRPr="00E856EC" w:rsidRDefault="00E856EC" w:rsidP="00E856EC">
      <w:pPr>
        <w:widowControl/>
        <w:adjustRightInd w:val="0"/>
        <w:spacing w:line="360" w:lineRule="auto"/>
        <w:ind w:firstLineChars="200" w:firstLine="643"/>
        <w:jc w:val="left"/>
        <w:rPr>
          <w:rFonts w:ascii="彩虹楷体" w:eastAsia="彩虹楷体" w:hAnsi="宋体" w:cs="宋体"/>
          <w:b/>
          <w:kern w:val="0"/>
          <w:sz w:val="32"/>
          <w:szCs w:val="32"/>
        </w:rPr>
      </w:pPr>
      <w:r w:rsidRPr="00E856EC">
        <w:rPr>
          <w:rFonts w:ascii="彩虹楷体" w:eastAsia="彩虹楷体" w:hAnsi="宋体" w:cs="宋体" w:hint="eastAsia"/>
          <w:b/>
          <w:kern w:val="0"/>
          <w:sz w:val="32"/>
          <w:szCs w:val="32"/>
        </w:rPr>
        <w:t>（一）办卡要求</w:t>
      </w:r>
    </w:p>
    <w:p w:rsidR="001A3BE9" w:rsidRPr="001A3BE9" w:rsidRDefault="001A3BE9" w:rsidP="00065FA1">
      <w:pPr>
        <w:widowControl/>
        <w:adjustRightInd w:val="0"/>
        <w:spacing w:line="360" w:lineRule="auto"/>
        <w:ind w:firstLineChars="200" w:firstLine="640"/>
        <w:jc w:val="left"/>
        <w:rPr>
          <w:rFonts w:ascii="等线" w:eastAsia="等线" w:hAnsi="等线" w:cs="宋体"/>
          <w:kern w:val="0"/>
          <w:sz w:val="32"/>
          <w:szCs w:val="32"/>
        </w:rPr>
      </w:pPr>
      <w:r w:rsidRPr="001A3BE9">
        <w:rPr>
          <w:rFonts w:eastAsia="彩虹粗仿宋" w:hAnsi="宋体" w:cs="宋体" w:hint="eastAsia"/>
          <w:kern w:val="0"/>
          <w:sz w:val="32"/>
          <w:szCs w:val="32"/>
        </w:rPr>
        <w:t>“龙卡旅行通卡”只可以在办理时一次性通过人民币现金存入的方式，根据客户办理的卡产品的限额进行充值。之后不允许除账务调整或退货、撤销类交易外任何形式的入账类交易。出账类交易仅允许消费类交易，转账、红包、取现交易均不可进行。“龙卡旅行通卡”支持绑定在银联</w:t>
      </w:r>
      <w:proofErr w:type="gramStart"/>
      <w:r w:rsidRPr="001A3BE9">
        <w:rPr>
          <w:rFonts w:eastAsia="彩虹粗仿宋" w:hAnsi="宋体" w:cs="宋体" w:hint="eastAsia"/>
          <w:kern w:val="0"/>
          <w:sz w:val="32"/>
          <w:szCs w:val="32"/>
        </w:rPr>
        <w:t>云闪付</w:t>
      </w:r>
      <w:proofErr w:type="gramEnd"/>
      <w:r w:rsidRPr="001A3BE9">
        <w:rPr>
          <w:rFonts w:ascii="等线" w:eastAsia="等线" w:hAnsi="等线" w:cs="宋体"/>
          <w:kern w:val="0"/>
          <w:sz w:val="32"/>
          <w:szCs w:val="32"/>
        </w:rPr>
        <w:t>APP</w:t>
      </w:r>
      <w:r w:rsidRPr="001A3BE9">
        <w:rPr>
          <w:rFonts w:eastAsia="彩虹粗仿宋" w:hAnsi="宋体" w:cs="宋体" w:hint="eastAsia"/>
          <w:kern w:val="0"/>
          <w:sz w:val="32"/>
          <w:szCs w:val="32"/>
        </w:rPr>
        <w:t>上进行交易，也可直接用卡进行交易，未来将支持绑定</w:t>
      </w:r>
      <w:r w:rsidRPr="001A3BE9">
        <w:rPr>
          <w:rFonts w:eastAsia="彩虹粗仿宋" w:hAnsi="宋体" w:cs="宋体" w:hint="eastAsia"/>
          <w:kern w:val="0"/>
          <w:sz w:val="32"/>
          <w:szCs w:val="32"/>
        </w:rPr>
        <w:lastRenderedPageBreak/>
        <w:t>在我行</w:t>
      </w:r>
      <w:proofErr w:type="gramStart"/>
      <w:r w:rsidRPr="001A3BE9">
        <w:rPr>
          <w:rFonts w:eastAsia="彩虹粗仿宋" w:hAnsi="宋体" w:cs="宋体" w:hint="eastAsia"/>
          <w:kern w:val="0"/>
          <w:sz w:val="32"/>
          <w:szCs w:val="32"/>
        </w:rPr>
        <w:t>龙支付</w:t>
      </w:r>
      <w:proofErr w:type="gramEnd"/>
      <w:r w:rsidRPr="001A3BE9">
        <w:rPr>
          <w:rFonts w:eastAsia="彩虹粗仿宋" w:hAnsi="宋体" w:cs="宋体" w:hint="eastAsia"/>
          <w:kern w:val="0"/>
          <w:sz w:val="32"/>
          <w:szCs w:val="32"/>
        </w:rPr>
        <w:t>海外版</w:t>
      </w:r>
      <w:r w:rsidR="00065FA1">
        <w:rPr>
          <w:rFonts w:ascii="等线" w:eastAsia="等线" w:hAnsi="等线" w:cs="宋体" w:hint="eastAsia"/>
          <w:kern w:val="0"/>
          <w:sz w:val="32"/>
          <w:szCs w:val="32"/>
        </w:rPr>
        <w:t>APP</w:t>
      </w:r>
      <w:r w:rsidRPr="001A3BE9">
        <w:rPr>
          <w:rFonts w:eastAsia="彩虹粗仿宋" w:hAnsi="宋体" w:cs="宋体" w:hint="eastAsia"/>
          <w:kern w:val="0"/>
          <w:sz w:val="32"/>
          <w:szCs w:val="32"/>
        </w:rPr>
        <w:t>，不支持当前</w:t>
      </w:r>
      <w:proofErr w:type="gramStart"/>
      <w:r w:rsidRPr="001A3BE9">
        <w:rPr>
          <w:rFonts w:eastAsia="彩虹粗仿宋" w:hAnsi="宋体" w:cs="宋体" w:hint="eastAsia"/>
          <w:kern w:val="0"/>
          <w:sz w:val="32"/>
          <w:szCs w:val="32"/>
        </w:rPr>
        <w:t>境内龙支付</w:t>
      </w:r>
      <w:proofErr w:type="gramEnd"/>
      <w:r w:rsidRPr="001A3BE9">
        <w:rPr>
          <w:rFonts w:ascii="等线" w:eastAsia="等线" w:hAnsi="等线" w:cs="宋体"/>
          <w:kern w:val="0"/>
          <w:sz w:val="32"/>
          <w:szCs w:val="32"/>
        </w:rPr>
        <w:t>APP</w:t>
      </w:r>
      <w:r w:rsidRPr="001A3BE9">
        <w:rPr>
          <w:rFonts w:eastAsia="彩虹粗仿宋" w:hAnsi="宋体" w:cs="宋体" w:hint="eastAsia"/>
          <w:kern w:val="0"/>
          <w:sz w:val="32"/>
          <w:szCs w:val="32"/>
        </w:rPr>
        <w:t>及</w:t>
      </w:r>
      <w:proofErr w:type="gramStart"/>
      <w:r w:rsidRPr="001A3BE9">
        <w:rPr>
          <w:rFonts w:eastAsia="彩虹粗仿宋" w:hAnsi="宋体" w:cs="宋体" w:hint="eastAsia"/>
          <w:kern w:val="0"/>
          <w:sz w:val="32"/>
          <w:szCs w:val="32"/>
        </w:rPr>
        <w:t>所有第三</w:t>
      </w:r>
      <w:proofErr w:type="gramEnd"/>
      <w:r w:rsidRPr="001A3BE9">
        <w:rPr>
          <w:rFonts w:eastAsia="彩虹粗仿宋" w:hAnsi="宋体" w:cs="宋体" w:hint="eastAsia"/>
          <w:kern w:val="0"/>
          <w:sz w:val="32"/>
          <w:szCs w:val="32"/>
        </w:rPr>
        <w:t>方支付交易。</w:t>
      </w:r>
    </w:p>
    <w:p w:rsidR="001A3BE9" w:rsidRPr="001A3BE9" w:rsidRDefault="00E856EC" w:rsidP="00E856EC">
      <w:pPr>
        <w:widowControl/>
        <w:adjustRightInd w:val="0"/>
        <w:spacing w:line="360" w:lineRule="auto"/>
        <w:ind w:firstLineChars="200" w:firstLine="643"/>
        <w:jc w:val="left"/>
        <w:rPr>
          <w:rFonts w:ascii="彩虹楷体" w:eastAsia="彩虹楷体" w:hAnsi="宋体" w:cs="宋体"/>
          <w:b/>
          <w:kern w:val="0"/>
          <w:sz w:val="32"/>
          <w:szCs w:val="32"/>
        </w:rPr>
      </w:pPr>
      <w:r w:rsidRPr="00E856EC">
        <w:rPr>
          <w:rFonts w:ascii="彩虹楷体" w:eastAsia="彩虹楷体" w:hAnsi="宋体" w:cs="宋体" w:hint="eastAsia"/>
          <w:b/>
          <w:kern w:val="0"/>
          <w:sz w:val="32"/>
          <w:szCs w:val="32"/>
        </w:rPr>
        <w:t>（二</w:t>
      </w:r>
      <w:r w:rsidR="001A3BE9" w:rsidRPr="001A3BE9">
        <w:rPr>
          <w:rFonts w:ascii="彩虹楷体" w:eastAsia="彩虹楷体" w:hAnsi="宋体" w:cs="宋体" w:hint="eastAsia"/>
          <w:b/>
          <w:kern w:val="0"/>
          <w:sz w:val="32"/>
          <w:szCs w:val="32"/>
        </w:rPr>
        <w:t>）开卡金额</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eastAsia="彩虹粗仿宋" w:hAnsi="宋体" w:cs="宋体" w:hint="eastAsia"/>
          <w:kern w:val="0"/>
          <w:sz w:val="32"/>
          <w:szCs w:val="32"/>
        </w:rPr>
        <w:t>“龙卡旅行通卡”</w:t>
      </w:r>
      <w:r w:rsidRPr="001A3BE9">
        <w:rPr>
          <w:rFonts w:ascii="彩虹粗仿宋" w:eastAsia="彩虹粗仿宋" w:hAnsi="宋体" w:cs="宋体" w:hint="eastAsia"/>
          <w:kern w:val="0"/>
          <w:sz w:val="32"/>
          <w:szCs w:val="32"/>
        </w:rPr>
        <w:t>采取固定开卡金额发行，即在开卡时一次性存入固定金额的货币。根据可售产品名称，三类产品分别只能存入500元人民币、1000元人民币、2000元人民币（金额由柜员手工输入），柜员向客户另外收取开卡工本费后根据客户选择的卡面和金额开卡。</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（三）有效期限制</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eastAsia="彩虹粗仿宋" w:hAnsi="宋体" w:cs="宋体" w:hint="eastAsia"/>
          <w:kern w:val="0"/>
          <w:sz w:val="32"/>
          <w:szCs w:val="32"/>
        </w:rPr>
        <w:t>“龙卡旅行通卡”有效期统一设定为</w:t>
      </w:r>
      <w:r w:rsidRPr="001A3BE9">
        <w:rPr>
          <w:rFonts w:ascii="等线" w:eastAsia="等线" w:hAnsi="等线" w:cs="宋体"/>
          <w:kern w:val="0"/>
          <w:sz w:val="32"/>
          <w:szCs w:val="32"/>
        </w:rPr>
        <w:t>6</w:t>
      </w:r>
      <w:r w:rsidRPr="001A3BE9">
        <w:rPr>
          <w:rFonts w:eastAsia="彩虹粗仿宋" w:hAnsi="宋体" w:cs="宋体" w:hint="eastAsia"/>
          <w:kern w:val="0"/>
          <w:sz w:val="32"/>
          <w:szCs w:val="32"/>
        </w:rPr>
        <w:t>个月，</w:t>
      </w:r>
      <w:r w:rsidRPr="001A3BE9">
        <w:rPr>
          <w:rFonts w:ascii="彩虹粗仿宋" w:eastAsia="彩虹粗仿宋" w:hAnsi="宋体" w:cs="宋体" w:hint="eastAsia"/>
          <w:kern w:val="0"/>
          <w:sz w:val="32"/>
          <w:szCs w:val="32"/>
        </w:rPr>
        <w:t>从卡片预制之日算起，在卡面上打印到期日。</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（四）产品数量限制</w:t>
      </w:r>
    </w:p>
    <w:p w:rsidR="001A3BE9" w:rsidRPr="001A3BE9" w:rsidRDefault="001A3BE9" w:rsidP="00E856EC">
      <w:pPr>
        <w:widowControl/>
        <w:adjustRightInd w:val="0"/>
        <w:spacing w:line="360" w:lineRule="auto"/>
        <w:ind w:firstLineChars="200" w:firstLine="640"/>
        <w:jc w:val="left"/>
        <w:rPr>
          <w:rFonts w:ascii="宋体" w:eastAsia="宋体" w:hAnsi="宋体" w:cs="宋体"/>
          <w:kern w:val="0"/>
          <w:sz w:val="24"/>
          <w:szCs w:val="24"/>
        </w:rPr>
      </w:pPr>
      <w:r w:rsidRPr="001A3BE9">
        <w:rPr>
          <w:rFonts w:eastAsia="彩虹粗仿宋" w:hAnsi="宋体" w:cs="宋体" w:hint="eastAsia"/>
          <w:kern w:val="0"/>
          <w:sz w:val="32"/>
          <w:szCs w:val="32"/>
        </w:rPr>
        <w:t>“龙卡旅行通卡”同一客户同一时间仅可持有最多</w:t>
      </w:r>
      <w:proofErr w:type="gramStart"/>
      <w:r w:rsidRPr="001A3BE9">
        <w:rPr>
          <w:rFonts w:eastAsia="彩虹粗仿宋" w:hAnsi="宋体" w:cs="宋体" w:hint="eastAsia"/>
          <w:kern w:val="0"/>
          <w:sz w:val="32"/>
          <w:szCs w:val="32"/>
        </w:rPr>
        <w:t>两张此</w:t>
      </w:r>
      <w:proofErr w:type="gramEnd"/>
      <w:r w:rsidRPr="001A3BE9">
        <w:rPr>
          <w:rFonts w:eastAsia="彩虹粗仿宋" w:hAnsi="宋体" w:cs="宋体" w:hint="eastAsia"/>
          <w:kern w:val="0"/>
          <w:sz w:val="32"/>
          <w:szCs w:val="32"/>
        </w:rPr>
        <w:t>类型产品。如客户仍需开立该卡产品，需将已经持有的卡注销后进行开立。</w:t>
      </w:r>
    </w:p>
    <w:p w:rsidR="001A3BE9" w:rsidRPr="001A3BE9" w:rsidRDefault="001A3BE9" w:rsidP="00E856EC">
      <w:pPr>
        <w:widowControl/>
        <w:adjustRightInd w:val="0"/>
        <w:spacing w:line="360" w:lineRule="auto"/>
        <w:ind w:firstLineChars="200" w:firstLine="643"/>
        <w:jc w:val="left"/>
        <w:rPr>
          <w:rFonts w:ascii="彩虹楷体" w:eastAsia="彩虹楷体" w:hAnsi="宋体" w:cs="宋体"/>
          <w:b/>
          <w:kern w:val="0"/>
          <w:sz w:val="32"/>
          <w:szCs w:val="32"/>
        </w:rPr>
      </w:pPr>
      <w:r w:rsidRPr="001A3BE9">
        <w:rPr>
          <w:rFonts w:ascii="彩虹楷体" w:eastAsia="彩虹楷体" w:hAnsi="宋体" w:cs="宋体" w:hint="eastAsia"/>
          <w:b/>
          <w:kern w:val="0"/>
          <w:sz w:val="32"/>
          <w:szCs w:val="32"/>
        </w:rPr>
        <w:t>（五）卡片注销</w:t>
      </w:r>
    </w:p>
    <w:p w:rsidR="001A3BE9" w:rsidRDefault="001A3BE9" w:rsidP="00E856EC">
      <w:pPr>
        <w:widowControl/>
        <w:adjustRightInd w:val="0"/>
        <w:spacing w:line="360" w:lineRule="auto"/>
        <w:ind w:firstLineChars="200" w:firstLine="640"/>
        <w:jc w:val="left"/>
        <w:rPr>
          <w:rFonts w:eastAsia="彩虹粗仿宋" w:hAnsi="宋体" w:cs="宋体"/>
          <w:kern w:val="0"/>
          <w:sz w:val="32"/>
          <w:szCs w:val="32"/>
        </w:rPr>
      </w:pPr>
      <w:r w:rsidRPr="001A3BE9">
        <w:rPr>
          <w:rFonts w:eastAsia="彩虹粗仿宋" w:hAnsi="宋体" w:cs="宋体" w:hint="eastAsia"/>
          <w:kern w:val="0"/>
          <w:sz w:val="32"/>
          <w:szCs w:val="32"/>
        </w:rPr>
        <w:t>“龙卡旅行通卡”仅支持在柜面进行注销，注销流程与借记卡一致，如客户注销时账户内仍有余额，需以人民币的形式为客户取出后进行注销。</w:t>
      </w:r>
    </w:p>
    <w:p w:rsidR="00E856EC" w:rsidRPr="00E856EC" w:rsidRDefault="00E856EC" w:rsidP="00E856EC">
      <w:pPr>
        <w:widowControl/>
        <w:adjustRightInd w:val="0"/>
        <w:spacing w:line="360" w:lineRule="auto"/>
        <w:ind w:firstLineChars="200" w:firstLine="643"/>
        <w:jc w:val="left"/>
        <w:rPr>
          <w:rFonts w:ascii="彩虹楷体" w:eastAsia="彩虹楷体" w:hAnsi="宋体" w:cs="宋体"/>
          <w:b/>
          <w:kern w:val="0"/>
          <w:sz w:val="32"/>
          <w:szCs w:val="32"/>
        </w:rPr>
      </w:pPr>
      <w:r w:rsidRPr="00E856EC">
        <w:rPr>
          <w:rFonts w:ascii="彩虹楷体" w:eastAsia="彩虹楷体" w:hAnsi="宋体" w:cs="宋体" w:hint="eastAsia"/>
          <w:b/>
          <w:kern w:val="0"/>
          <w:sz w:val="32"/>
          <w:szCs w:val="32"/>
        </w:rPr>
        <w:t>（六）办理范围</w:t>
      </w:r>
    </w:p>
    <w:p w:rsidR="00E856EC" w:rsidRDefault="00E856EC" w:rsidP="00E856EC">
      <w:pPr>
        <w:widowControl/>
        <w:adjustRightInd w:val="0"/>
        <w:spacing w:line="360" w:lineRule="auto"/>
        <w:ind w:firstLineChars="200" w:firstLine="640"/>
        <w:jc w:val="left"/>
        <w:rPr>
          <w:rFonts w:eastAsia="彩虹粗仿宋" w:hAnsi="宋体" w:cs="宋体"/>
          <w:kern w:val="0"/>
          <w:sz w:val="32"/>
          <w:szCs w:val="32"/>
        </w:rPr>
      </w:pPr>
      <w:r>
        <w:rPr>
          <w:rFonts w:eastAsia="彩虹粗仿宋" w:hAnsi="宋体" w:cs="宋体" w:hint="eastAsia"/>
          <w:kern w:val="0"/>
          <w:sz w:val="32"/>
          <w:szCs w:val="32"/>
        </w:rPr>
        <w:t>建设银行</w:t>
      </w:r>
      <w:r w:rsidR="00065FA1">
        <w:rPr>
          <w:rFonts w:eastAsia="彩虹粗仿宋" w:hAnsi="宋体" w:cs="宋体" w:hint="eastAsia"/>
          <w:kern w:val="0"/>
          <w:sz w:val="32"/>
          <w:szCs w:val="32"/>
        </w:rPr>
        <w:t>青岛市分行</w:t>
      </w:r>
      <w:r>
        <w:rPr>
          <w:rFonts w:eastAsia="彩虹粗仿宋" w:hAnsi="宋体" w:cs="宋体" w:hint="eastAsia"/>
          <w:kern w:val="0"/>
          <w:sz w:val="32"/>
          <w:szCs w:val="32"/>
        </w:rPr>
        <w:t>全部网点可以办理“龙卡旅行通”卡。</w:t>
      </w:r>
    </w:p>
    <w:p w:rsidR="00E856EC" w:rsidRDefault="00E856EC" w:rsidP="00E856EC">
      <w:pPr>
        <w:pStyle w:val="a5"/>
        <w:spacing w:line="360" w:lineRule="auto"/>
        <w:ind w:firstLine="420"/>
        <w:rPr>
          <w:rFonts w:asciiTheme="minorHAnsi" w:eastAsia="彩虹粗仿宋"/>
          <w:sz w:val="32"/>
          <w:szCs w:val="32"/>
        </w:rPr>
      </w:pPr>
    </w:p>
    <w:p w:rsidR="001A3BE9" w:rsidRPr="001A3BE9" w:rsidRDefault="001A3BE9" w:rsidP="00E856EC">
      <w:pPr>
        <w:pStyle w:val="a5"/>
        <w:spacing w:line="360" w:lineRule="auto"/>
        <w:ind w:firstLine="420"/>
        <w:rPr>
          <w:rFonts w:asciiTheme="minorHAnsi" w:eastAsia="彩虹粗仿宋"/>
          <w:sz w:val="32"/>
          <w:szCs w:val="32"/>
        </w:rPr>
      </w:pPr>
      <w:r w:rsidRPr="001A3BE9">
        <w:rPr>
          <w:rFonts w:asciiTheme="minorHAnsi" w:eastAsia="彩虹粗仿宋" w:hint="eastAsia"/>
          <w:sz w:val="32"/>
          <w:szCs w:val="32"/>
        </w:rPr>
        <w:t>感谢您的理解与支持，中国建设银行将竭诚为您提供优质服务，共创美好生活！若您有任何问题，欢迎致电我行</w:t>
      </w:r>
      <w:r w:rsidRPr="001A3BE9">
        <w:rPr>
          <w:rFonts w:asciiTheme="minorHAnsi" w:eastAsia="彩虹粗仿宋" w:hint="eastAsia"/>
          <w:sz w:val="32"/>
          <w:szCs w:val="32"/>
        </w:rPr>
        <w:t>95533</w:t>
      </w:r>
      <w:r w:rsidRPr="001A3BE9">
        <w:rPr>
          <w:rFonts w:asciiTheme="minorHAnsi" w:eastAsia="彩虹粗仿宋" w:hint="eastAsia"/>
          <w:sz w:val="32"/>
          <w:szCs w:val="32"/>
        </w:rPr>
        <w:t>客</w:t>
      </w:r>
      <w:proofErr w:type="gramStart"/>
      <w:r w:rsidRPr="001A3BE9">
        <w:rPr>
          <w:rFonts w:asciiTheme="minorHAnsi" w:eastAsia="彩虹粗仿宋" w:hint="eastAsia"/>
          <w:sz w:val="32"/>
          <w:szCs w:val="32"/>
        </w:rPr>
        <w:t>服电话</w:t>
      </w:r>
      <w:proofErr w:type="gramEnd"/>
      <w:r w:rsidRPr="001A3BE9">
        <w:rPr>
          <w:rFonts w:asciiTheme="minorHAnsi" w:eastAsia="彩虹粗仿宋" w:hint="eastAsia"/>
          <w:sz w:val="32"/>
          <w:szCs w:val="32"/>
        </w:rPr>
        <w:t>咨询。</w:t>
      </w:r>
    </w:p>
    <w:p w:rsidR="001A3BE9" w:rsidRDefault="001A3BE9" w:rsidP="00E856EC">
      <w:pPr>
        <w:widowControl/>
        <w:adjustRightInd w:val="0"/>
        <w:spacing w:line="360" w:lineRule="auto"/>
        <w:ind w:firstLineChars="200" w:firstLine="640"/>
        <w:jc w:val="left"/>
        <w:rPr>
          <w:rFonts w:eastAsia="彩虹粗仿宋" w:cs="宋体"/>
          <w:sz w:val="32"/>
          <w:szCs w:val="32"/>
        </w:rPr>
      </w:pPr>
      <w:r w:rsidRPr="001A3BE9">
        <w:rPr>
          <w:rFonts w:eastAsia="彩虹粗仿宋" w:cs="宋体" w:hint="eastAsia"/>
          <w:sz w:val="32"/>
          <w:szCs w:val="32"/>
        </w:rPr>
        <w:t>特此公告。</w:t>
      </w:r>
    </w:p>
    <w:p w:rsidR="00E856EC" w:rsidRDefault="00E856EC" w:rsidP="00E856EC">
      <w:pPr>
        <w:widowControl/>
        <w:adjustRightInd w:val="0"/>
        <w:spacing w:line="360" w:lineRule="auto"/>
        <w:ind w:firstLineChars="200" w:firstLine="640"/>
        <w:jc w:val="left"/>
        <w:rPr>
          <w:rFonts w:eastAsia="彩虹粗仿宋" w:cs="宋体"/>
          <w:sz w:val="32"/>
          <w:szCs w:val="32"/>
        </w:rPr>
      </w:pPr>
    </w:p>
    <w:p w:rsidR="00E856EC" w:rsidRDefault="00E856EC" w:rsidP="00E856EC">
      <w:pPr>
        <w:widowControl/>
        <w:adjustRightInd w:val="0"/>
        <w:spacing w:line="360" w:lineRule="auto"/>
        <w:ind w:firstLineChars="200" w:firstLine="640"/>
        <w:jc w:val="left"/>
        <w:rPr>
          <w:rFonts w:eastAsia="彩虹粗仿宋" w:cs="宋体"/>
          <w:sz w:val="32"/>
          <w:szCs w:val="32"/>
        </w:rPr>
      </w:pPr>
    </w:p>
    <w:p w:rsidR="00E856EC" w:rsidRDefault="00E856EC" w:rsidP="00E856EC">
      <w:pPr>
        <w:widowControl/>
        <w:adjustRightInd w:val="0"/>
        <w:spacing w:line="360" w:lineRule="auto"/>
        <w:ind w:firstLineChars="200" w:firstLine="640"/>
        <w:jc w:val="left"/>
        <w:rPr>
          <w:rFonts w:eastAsia="彩虹粗仿宋" w:cs="宋体"/>
          <w:sz w:val="32"/>
          <w:szCs w:val="32"/>
        </w:rPr>
      </w:pPr>
    </w:p>
    <w:p w:rsidR="00E856EC" w:rsidRDefault="00E856EC" w:rsidP="00E856EC">
      <w:pPr>
        <w:widowControl/>
        <w:adjustRightInd w:val="0"/>
        <w:spacing w:line="360" w:lineRule="auto"/>
        <w:ind w:firstLineChars="200" w:firstLine="640"/>
        <w:jc w:val="left"/>
        <w:rPr>
          <w:rFonts w:eastAsia="彩虹粗仿宋" w:cs="宋体"/>
          <w:sz w:val="32"/>
          <w:szCs w:val="32"/>
        </w:rPr>
      </w:pPr>
      <w:bookmarkStart w:id="0" w:name="_GoBack"/>
      <w:bookmarkEnd w:id="0"/>
    </w:p>
    <w:p w:rsidR="00E856EC" w:rsidRDefault="00E856EC" w:rsidP="00E856EC">
      <w:pPr>
        <w:widowControl/>
        <w:adjustRightInd w:val="0"/>
        <w:spacing w:line="360" w:lineRule="auto"/>
        <w:ind w:firstLineChars="200" w:firstLine="640"/>
        <w:jc w:val="left"/>
        <w:rPr>
          <w:rFonts w:eastAsia="彩虹粗仿宋" w:cs="宋体"/>
          <w:sz w:val="32"/>
          <w:szCs w:val="32"/>
        </w:rPr>
      </w:pPr>
    </w:p>
    <w:p w:rsidR="00E856EC" w:rsidRPr="00803EA8" w:rsidRDefault="00E856EC" w:rsidP="00E856EC">
      <w:pPr>
        <w:widowControl/>
        <w:adjustRightInd w:val="0"/>
        <w:spacing w:line="360" w:lineRule="auto"/>
        <w:ind w:firstLineChars="200" w:firstLine="640"/>
        <w:jc w:val="right"/>
        <w:rPr>
          <w:rFonts w:ascii="彩虹粗仿宋" w:eastAsia="彩虹粗仿宋" w:cs="宋体" w:hint="eastAsia"/>
          <w:sz w:val="32"/>
          <w:szCs w:val="32"/>
        </w:rPr>
      </w:pPr>
      <w:r w:rsidRPr="00803EA8">
        <w:rPr>
          <w:rFonts w:ascii="彩虹粗仿宋" w:eastAsia="彩虹粗仿宋" w:cs="宋体" w:hint="eastAsia"/>
          <w:sz w:val="32"/>
          <w:szCs w:val="32"/>
        </w:rPr>
        <w:t>中国建设银行股份有限公司青岛市分行</w:t>
      </w:r>
    </w:p>
    <w:p w:rsidR="00E856EC" w:rsidRPr="00803EA8" w:rsidRDefault="00E856EC" w:rsidP="00065FA1">
      <w:pPr>
        <w:widowControl/>
        <w:adjustRightInd w:val="0"/>
        <w:spacing w:line="360" w:lineRule="auto"/>
        <w:ind w:right="1280" w:firstLineChars="700" w:firstLine="2240"/>
        <w:jc w:val="right"/>
        <w:rPr>
          <w:rFonts w:ascii="彩虹粗仿宋" w:eastAsia="彩虹粗仿宋" w:hAnsi="宋体" w:cs="宋体" w:hint="eastAsia"/>
          <w:sz w:val="32"/>
          <w:szCs w:val="32"/>
        </w:rPr>
      </w:pPr>
      <w:r w:rsidRPr="00803EA8">
        <w:rPr>
          <w:rFonts w:ascii="彩虹粗仿宋" w:eastAsia="彩虹粗仿宋" w:cs="宋体" w:hint="eastAsia"/>
          <w:sz w:val="32"/>
          <w:szCs w:val="32"/>
        </w:rPr>
        <w:t>2021年4月</w:t>
      </w:r>
    </w:p>
    <w:p w:rsidR="001A3BE9" w:rsidRPr="001A3BE9" w:rsidRDefault="001A3BE9" w:rsidP="00E856EC">
      <w:pPr>
        <w:ind w:firstLineChars="200" w:firstLine="420"/>
        <w:jc w:val="right"/>
      </w:pPr>
    </w:p>
    <w:sectPr w:rsidR="001A3BE9" w:rsidRPr="001A3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4E" w:rsidRDefault="004A4E4E" w:rsidP="001A3BE9">
      <w:r>
        <w:separator/>
      </w:r>
    </w:p>
  </w:endnote>
  <w:endnote w:type="continuationSeparator" w:id="0">
    <w:p w:rsidR="004A4E4E" w:rsidRDefault="004A4E4E" w:rsidP="001A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4E" w:rsidRDefault="004A4E4E" w:rsidP="001A3BE9">
      <w:r>
        <w:separator/>
      </w:r>
    </w:p>
  </w:footnote>
  <w:footnote w:type="continuationSeparator" w:id="0">
    <w:p w:rsidR="004A4E4E" w:rsidRDefault="004A4E4E" w:rsidP="001A3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F5"/>
    <w:rsid w:val="000009E2"/>
    <w:rsid w:val="0000318A"/>
    <w:rsid w:val="00004A6D"/>
    <w:rsid w:val="000126A2"/>
    <w:rsid w:val="000206AF"/>
    <w:rsid w:val="000319A2"/>
    <w:rsid w:val="0003564B"/>
    <w:rsid w:val="00035724"/>
    <w:rsid w:val="000436C2"/>
    <w:rsid w:val="00044101"/>
    <w:rsid w:val="00045585"/>
    <w:rsid w:val="00057DDF"/>
    <w:rsid w:val="00060161"/>
    <w:rsid w:val="00061B32"/>
    <w:rsid w:val="000626E3"/>
    <w:rsid w:val="00064A48"/>
    <w:rsid w:val="00065FA1"/>
    <w:rsid w:val="00072F12"/>
    <w:rsid w:val="00074068"/>
    <w:rsid w:val="00076EB8"/>
    <w:rsid w:val="000829CE"/>
    <w:rsid w:val="000916FF"/>
    <w:rsid w:val="00093181"/>
    <w:rsid w:val="000A1E46"/>
    <w:rsid w:val="000B2EC6"/>
    <w:rsid w:val="000B40C7"/>
    <w:rsid w:val="000D474C"/>
    <w:rsid w:val="000D5631"/>
    <w:rsid w:val="000E62A1"/>
    <w:rsid w:val="000F52F8"/>
    <w:rsid w:val="00117F2C"/>
    <w:rsid w:val="00120938"/>
    <w:rsid w:val="00121849"/>
    <w:rsid w:val="00127097"/>
    <w:rsid w:val="00131F27"/>
    <w:rsid w:val="00132F12"/>
    <w:rsid w:val="001339C2"/>
    <w:rsid w:val="00140477"/>
    <w:rsid w:val="00140BC7"/>
    <w:rsid w:val="0014210A"/>
    <w:rsid w:val="0014573D"/>
    <w:rsid w:val="00151ED3"/>
    <w:rsid w:val="00163968"/>
    <w:rsid w:val="00166875"/>
    <w:rsid w:val="001753E7"/>
    <w:rsid w:val="00190327"/>
    <w:rsid w:val="00193FBB"/>
    <w:rsid w:val="00194BD9"/>
    <w:rsid w:val="00194ECE"/>
    <w:rsid w:val="001A3BE9"/>
    <w:rsid w:val="001A733B"/>
    <w:rsid w:val="001B0A05"/>
    <w:rsid w:val="001B16C4"/>
    <w:rsid w:val="001B3D2A"/>
    <w:rsid w:val="001B55BC"/>
    <w:rsid w:val="001B757D"/>
    <w:rsid w:val="001C194D"/>
    <w:rsid w:val="001C5AFF"/>
    <w:rsid w:val="001D3D05"/>
    <w:rsid w:val="001D67A7"/>
    <w:rsid w:val="001D699A"/>
    <w:rsid w:val="001D703E"/>
    <w:rsid w:val="001E3A1E"/>
    <w:rsid w:val="001E769B"/>
    <w:rsid w:val="00201654"/>
    <w:rsid w:val="00205C52"/>
    <w:rsid w:val="00205F6F"/>
    <w:rsid w:val="002107C9"/>
    <w:rsid w:val="00215948"/>
    <w:rsid w:val="00221863"/>
    <w:rsid w:val="00222762"/>
    <w:rsid w:val="00223B1D"/>
    <w:rsid w:val="00227CF6"/>
    <w:rsid w:val="00230030"/>
    <w:rsid w:val="00230E23"/>
    <w:rsid w:val="00233988"/>
    <w:rsid w:val="00241CF6"/>
    <w:rsid w:val="00246DB5"/>
    <w:rsid w:val="002505D4"/>
    <w:rsid w:val="00251F27"/>
    <w:rsid w:val="0025224F"/>
    <w:rsid w:val="00254485"/>
    <w:rsid w:val="002762EC"/>
    <w:rsid w:val="00281D72"/>
    <w:rsid w:val="002831E4"/>
    <w:rsid w:val="002879BC"/>
    <w:rsid w:val="00287CAA"/>
    <w:rsid w:val="00291EF1"/>
    <w:rsid w:val="00295E84"/>
    <w:rsid w:val="002C2767"/>
    <w:rsid w:val="002D3AC9"/>
    <w:rsid w:val="002D7732"/>
    <w:rsid w:val="002E30A5"/>
    <w:rsid w:val="002F4F28"/>
    <w:rsid w:val="002F6F1D"/>
    <w:rsid w:val="00300C66"/>
    <w:rsid w:val="00301FFF"/>
    <w:rsid w:val="00313526"/>
    <w:rsid w:val="00313B0F"/>
    <w:rsid w:val="003163A9"/>
    <w:rsid w:val="003245BF"/>
    <w:rsid w:val="003268E8"/>
    <w:rsid w:val="00332949"/>
    <w:rsid w:val="00334C95"/>
    <w:rsid w:val="00344C67"/>
    <w:rsid w:val="00352BE0"/>
    <w:rsid w:val="00355FDE"/>
    <w:rsid w:val="0036192D"/>
    <w:rsid w:val="003619D7"/>
    <w:rsid w:val="00383325"/>
    <w:rsid w:val="00385D9E"/>
    <w:rsid w:val="003A02EE"/>
    <w:rsid w:val="003B052E"/>
    <w:rsid w:val="003C56F8"/>
    <w:rsid w:val="003D0253"/>
    <w:rsid w:val="003E2B9F"/>
    <w:rsid w:val="003E5DC9"/>
    <w:rsid w:val="003F0A05"/>
    <w:rsid w:val="004020E4"/>
    <w:rsid w:val="00423035"/>
    <w:rsid w:val="00433258"/>
    <w:rsid w:val="004402AD"/>
    <w:rsid w:val="00443D81"/>
    <w:rsid w:val="00454DC7"/>
    <w:rsid w:val="004605A4"/>
    <w:rsid w:val="00472C46"/>
    <w:rsid w:val="0047429E"/>
    <w:rsid w:val="00481521"/>
    <w:rsid w:val="00484BFC"/>
    <w:rsid w:val="00485EF8"/>
    <w:rsid w:val="004877F0"/>
    <w:rsid w:val="004902C1"/>
    <w:rsid w:val="0049613C"/>
    <w:rsid w:val="00497D93"/>
    <w:rsid w:val="004A0002"/>
    <w:rsid w:val="004A4E4E"/>
    <w:rsid w:val="004B1B60"/>
    <w:rsid w:val="004B44DD"/>
    <w:rsid w:val="004C00B5"/>
    <w:rsid w:val="004C1602"/>
    <w:rsid w:val="004C6A9E"/>
    <w:rsid w:val="004C7181"/>
    <w:rsid w:val="004D1CE5"/>
    <w:rsid w:val="004D5F4B"/>
    <w:rsid w:val="004D730B"/>
    <w:rsid w:val="004E37EC"/>
    <w:rsid w:val="004E4DA3"/>
    <w:rsid w:val="004F32AC"/>
    <w:rsid w:val="004F57CE"/>
    <w:rsid w:val="004F5FD9"/>
    <w:rsid w:val="00506135"/>
    <w:rsid w:val="005104AF"/>
    <w:rsid w:val="00523314"/>
    <w:rsid w:val="005302F1"/>
    <w:rsid w:val="005330CA"/>
    <w:rsid w:val="00536EAE"/>
    <w:rsid w:val="00572908"/>
    <w:rsid w:val="00573438"/>
    <w:rsid w:val="00577309"/>
    <w:rsid w:val="005853B7"/>
    <w:rsid w:val="00590E20"/>
    <w:rsid w:val="00591EF2"/>
    <w:rsid w:val="005A3AB8"/>
    <w:rsid w:val="005A7CEB"/>
    <w:rsid w:val="005B1EA2"/>
    <w:rsid w:val="005B2463"/>
    <w:rsid w:val="005B54DB"/>
    <w:rsid w:val="005C1BDD"/>
    <w:rsid w:val="005C5354"/>
    <w:rsid w:val="005C5D5A"/>
    <w:rsid w:val="005C7175"/>
    <w:rsid w:val="005C7606"/>
    <w:rsid w:val="005F3678"/>
    <w:rsid w:val="005F651F"/>
    <w:rsid w:val="005F6DF4"/>
    <w:rsid w:val="00602DE3"/>
    <w:rsid w:val="00605170"/>
    <w:rsid w:val="0061633E"/>
    <w:rsid w:val="00626C91"/>
    <w:rsid w:val="00637260"/>
    <w:rsid w:val="00653EF4"/>
    <w:rsid w:val="006548DA"/>
    <w:rsid w:val="006558CD"/>
    <w:rsid w:val="00661A0D"/>
    <w:rsid w:val="006669E5"/>
    <w:rsid w:val="00673DD2"/>
    <w:rsid w:val="00674FA2"/>
    <w:rsid w:val="006800CA"/>
    <w:rsid w:val="0069357E"/>
    <w:rsid w:val="006A22EB"/>
    <w:rsid w:val="006A4630"/>
    <w:rsid w:val="006A4CE3"/>
    <w:rsid w:val="006B67E3"/>
    <w:rsid w:val="006D674F"/>
    <w:rsid w:val="00725559"/>
    <w:rsid w:val="007272C7"/>
    <w:rsid w:val="00727752"/>
    <w:rsid w:val="007552C3"/>
    <w:rsid w:val="0075709C"/>
    <w:rsid w:val="0076672D"/>
    <w:rsid w:val="007700A6"/>
    <w:rsid w:val="0077774B"/>
    <w:rsid w:val="00787AB2"/>
    <w:rsid w:val="00791AD4"/>
    <w:rsid w:val="007958CC"/>
    <w:rsid w:val="00797A21"/>
    <w:rsid w:val="00797BAC"/>
    <w:rsid w:val="007A7489"/>
    <w:rsid w:val="007B3058"/>
    <w:rsid w:val="007C09B8"/>
    <w:rsid w:val="007C0DA7"/>
    <w:rsid w:val="007C38D7"/>
    <w:rsid w:val="007C7875"/>
    <w:rsid w:val="007D52C3"/>
    <w:rsid w:val="007E377A"/>
    <w:rsid w:val="007E7330"/>
    <w:rsid w:val="007E7DB8"/>
    <w:rsid w:val="007F273D"/>
    <w:rsid w:val="00800B96"/>
    <w:rsid w:val="00802ECD"/>
    <w:rsid w:val="00803EA8"/>
    <w:rsid w:val="0080546D"/>
    <w:rsid w:val="008104EB"/>
    <w:rsid w:val="00811BC0"/>
    <w:rsid w:val="00812599"/>
    <w:rsid w:val="00814357"/>
    <w:rsid w:val="0081495E"/>
    <w:rsid w:val="00820DCC"/>
    <w:rsid w:val="0083229D"/>
    <w:rsid w:val="00833218"/>
    <w:rsid w:val="00835673"/>
    <w:rsid w:val="00842EAC"/>
    <w:rsid w:val="00847A09"/>
    <w:rsid w:val="00866CC7"/>
    <w:rsid w:val="00874839"/>
    <w:rsid w:val="008757A4"/>
    <w:rsid w:val="008863BD"/>
    <w:rsid w:val="008B4629"/>
    <w:rsid w:val="008D299D"/>
    <w:rsid w:val="008D32D9"/>
    <w:rsid w:val="008D35FF"/>
    <w:rsid w:val="008D6A01"/>
    <w:rsid w:val="008E7A46"/>
    <w:rsid w:val="008F18D9"/>
    <w:rsid w:val="008F28FA"/>
    <w:rsid w:val="008F6F1B"/>
    <w:rsid w:val="00901D61"/>
    <w:rsid w:val="009110B5"/>
    <w:rsid w:val="00923D57"/>
    <w:rsid w:val="00936D28"/>
    <w:rsid w:val="0093735A"/>
    <w:rsid w:val="00940885"/>
    <w:rsid w:val="0094213E"/>
    <w:rsid w:val="009533DA"/>
    <w:rsid w:val="00956EF7"/>
    <w:rsid w:val="0097212D"/>
    <w:rsid w:val="0097643D"/>
    <w:rsid w:val="00983898"/>
    <w:rsid w:val="009843E7"/>
    <w:rsid w:val="00994C29"/>
    <w:rsid w:val="0099642C"/>
    <w:rsid w:val="009A3C57"/>
    <w:rsid w:val="009A53D5"/>
    <w:rsid w:val="009C0D16"/>
    <w:rsid w:val="009C1A0D"/>
    <w:rsid w:val="009C32EE"/>
    <w:rsid w:val="009C66CB"/>
    <w:rsid w:val="009E541E"/>
    <w:rsid w:val="009F0CF9"/>
    <w:rsid w:val="009F6AA1"/>
    <w:rsid w:val="00A14D88"/>
    <w:rsid w:val="00A15D3D"/>
    <w:rsid w:val="00A2257D"/>
    <w:rsid w:val="00A309E1"/>
    <w:rsid w:val="00A36848"/>
    <w:rsid w:val="00A43513"/>
    <w:rsid w:val="00A45B67"/>
    <w:rsid w:val="00A45C07"/>
    <w:rsid w:val="00A50018"/>
    <w:rsid w:val="00A600A3"/>
    <w:rsid w:val="00A631BA"/>
    <w:rsid w:val="00A65202"/>
    <w:rsid w:val="00A71796"/>
    <w:rsid w:val="00A72EEE"/>
    <w:rsid w:val="00A73AC8"/>
    <w:rsid w:val="00A847BC"/>
    <w:rsid w:val="00A87CD0"/>
    <w:rsid w:val="00A941BF"/>
    <w:rsid w:val="00AA51ED"/>
    <w:rsid w:val="00AA75D0"/>
    <w:rsid w:val="00AA78CF"/>
    <w:rsid w:val="00AC1D21"/>
    <w:rsid w:val="00AC603E"/>
    <w:rsid w:val="00AC711A"/>
    <w:rsid w:val="00AD1B15"/>
    <w:rsid w:val="00AD3951"/>
    <w:rsid w:val="00B00A73"/>
    <w:rsid w:val="00B347EE"/>
    <w:rsid w:val="00B3506E"/>
    <w:rsid w:val="00B36EC4"/>
    <w:rsid w:val="00B45C83"/>
    <w:rsid w:val="00B51DA7"/>
    <w:rsid w:val="00B5335D"/>
    <w:rsid w:val="00B607F7"/>
    <w:rsid w:val="00B65212"/>
    <w:rsid w:val="00B90E9A"/>
    <w:rsid w:val="00B941EB"/>
    <w:rsid w:val="00B94886"/>
    <w:rsid w:val="00B97670"/>
    <w:rsid w:val="00BA7645"/>
    <w:rsid w:val="00BC1519"/>
    <w:rsid w:val="00BC47FC"/>
    <w:rsid w:val="00BC53B6"/>
    <w:rsid w:val="00BD0A4E"/>
    <w:rsid w:val="00BD41F5"/>
    <w:rsid w:val="00BE1934"/>
    <w:rsid w:val="00BE28BC"/>
    <w:rsid w:val="00C02AFB"/>
    <w:rsid w:val="00C048B7"/>
    <w:rsid w:val="00C15C43"/>
    <w:rsid w:val="00C43D13"/>
    <w:rsid w:val="00C50CAC"/>
    <w:rsid w:val="00C52390"/>
    <w:rsid w:val="00C63C7E"/>
    <w:rsid w:val="00C64686"/>
    <w:rsid w:val="00C7180F"/>
    <w:rsid w:val="00C86DAD"/>
    <w:rsid w:val="00C96C89"/>
    <w:rsid w:val="00CA229C"/>
    <w:rsid w:val="00CA5656"/>
    <w:rsid w:val="00CA6DAC"/>
    <w:rsid w:val="00CA75A6"/>
    <w:rsid w:val="00CB5B6D"/>
    <w:rsid w:val="00CB7E23"/>
    <w:rsid w:val="00CC43F5"/>
    <w:rsid w:val="00CC6EE1"/>
    <w:rsid w:val="00CD3235"/>
    <w:rsid w:val="00CD3C51"/>
    <w:rsid w:val="00CE1E5C"/>
    <w:rsid w:val="00CE3B04"/>
    <w:rsid w:val="00CE5FDC"/>
    <w:rsid w:val="00CE77AA"/>
    <w:rsid w:val="00CF788A"/>
    <w:rsid w:val="00D01BD3"/>
    <w:rsid w:val="00D0273D"/>
    <w:rsid w:val="00D108D9"/>
    <w:rsid w:val="00D2290E"/>
    <w:rsid w:val="00D251C7"/>
    <w:rsid w:val="00D256CF"/>
    <w:rsid w:val="00D344B9"/>
    <w:rsid w:val="00D359C8"/>
    <w:rsid w:val="00D42444"/>
    <w:rsid w:val="00D66814"/>
    <w:rsid w:val="00D7117B"/>
    <w:rsid w:val="00D728BA"/>
    <w:rsid w:val="00D743A4"/>
    <w:rsid w:val="00D75684"/>
    <w:rsid w:val="00D803EE"/>
    <w:rsid w:val="00D81325"/>
    <w:rsid w:val="00D854FA"/>
    <w:rsid w:val="00D921D0"/>
    <w:rsid w:val="00D93AE2"/>
    <w:rsid w:val="00DA242D"/>
    <w:rsid w:val="00DA4C10"/>
    <w:rsid w:val="00DA5324"/>
    <w:rsid w:val="00DA719C"/>
    <w:rsid w:val="00DC7EE9"/>
    <w:rsid w:val="00DD1202"/>
    <w:rsid w:val="00DD7558"/>
    <w:rsid w:val="00E05DDA"/>
    <w:rsid w:val="00E26B32"/>
    <w:rsid w:val="00E35D08"/>
    <w:rsid w:val="00E40AB0"/>
    <w:rsid w:val="00E51A36"/>
    <w:rsid w:val="00E641CA"/>
    <w:rsid w:val="00E853D1"/>
    <w:rsid w:val="00E856EC"/>
    <w:rsid w:val="00E86B3D"/>
    <w:rsid w:val="00E906A1"/>
    <w:rsid w:val="00E90BDE"/>
    <w:rsid w:val="00E96DF4"/>
    <w:rsid w:val="00E97473"/>
    <w:rsid w:val="00EA0067"/>
    <w:rsid w:val="00EA110F"/>
    <w:rsid w:val="00EA2A96"/>
    <w:rsid w:val="00EA63E9"/>
    <w:rsid w:val="00EB18A3"/>
    <w:rsid w:val="00EB2CE7"/>
    <w:rsid w:val="00EB7F88"/>
    <w:rsid w:val="00ED0774"/>
    <w:rsid w:val="00ED216A"/>
    <w:rsid w:val="00ED2C78"/>
    <w:rsid w:val="00ED5E04"/>
    <w:rsid w:val="00EF6A83"/>
    <w:rsid w:val="00F01D20"/>
    <w:rsid w:val="00F029CC"/>
    <w:rsid w:val="00F06EB6"/>
    <w:rsid w:val="00F073CE"/>
    <w:rsid w:val="00F115ED"/>
    <w:rsid w:val="00F119F5"/>
    <w:rsid w:val="00F17583"/>
    <w:rsid w:val="00F2217B"/>
    <w:rsid w:val="00F24B52"/>
    <w:rsid w:val="00F27753"/>
    <w:rsid w:val="00F30D79"/>
    <w:rsid w:val="00F34A82"/>
    <w:rsid w:val="00F42179"/>
    <w:rsid w:val="00F52A4E"/>
    <w:rsid w:val="00F53A3A"/>
    <w:rsid w:val="00F56506"/>
    <w:rsid w:val="00F62E67"/>
    <w:rsid w:val="00F6494F"/>
    <w:rsid w:val="00F71624"/>
    <w:rsid w:val="00F7231C"/>
    <w:rsid w:val="00F751F6"/>
    <w:rsid w:val="00F85058"/>
    <w:rsid w:val="00F879FA"/>
    <w:rsid w:val="00F97471"/>
    <w:rsid w:val="00FC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BE9"/>
    <w:rPr>
      <w:sz w:val="18"/>
      <w:szCs w:val="18"/>
    </w:rPr>
  </w:style>
  <w:style w:type="paragraph" w:styleId="a4">
    <w:name w:val="footer"/>
    <w:basedOn w:val="a"/>
    <w:link w:val="Char0"/>
    <w:uiPriority w:val="99"/>
    <w:unhideWhenUsed/>
    <w:rsid w:val="001A3BE9"/>
    <w:pPr>
      <w:tabs>
        <w:tab w:val="center" w:pos="4153"/>
        <w:tab w:val="right" w:pos="8306"/>
      </w:tabs>
      <w:snapToGrid w:val="0"/>
      <w:jc w:val="left"/>
    </w:pPr>
    <w:rPr>
      <w:sz w:val="18"/>
      <w:szCs w:val="18"/>
    </w:rPr>
  </w:style>
  <w:style w:type="character" w:customStyle="1" w:styleId="Char0">
    <w:name w:val="页脚 Char"/>
    <w:basedOn w:val="a0"/>
    <w:link w:val="a4"/>
    <w:uiPriority w:val="99"/>
    <w:rsid w:val="001A3BE9"/>
    <w:rPr>
      <w:sz w:val="18"/>
      <w:szCs w:val="18"/>
    </w:rPr>
  </w:style>
  <w:style w:type="paragraph" w:styleId="a5">
    <w:name w:val="Normal (Web)"/>
    <w:basedOn w:val="a"/>
    <w:uiPriority w:val="99"/>
    <w:semiHidden/>
    <w:unhideWhenUsed/>
    <w:rsid w:val="001A3B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BE9"/>
    <w:rPr>
      <w:sz w:val="18"/>
      <w:szCs w:val="18"/>
    </w:rPr>
  </w:style>
  <w:style w:type="paragraph" w:styleId="a4">
    <w:name w:val="footer"/>
    <w:basedOn w:val="a"/>
    <w:link w:val="Char0"/>
    <w:uiPriority w:val="99"/>
    <w:unhideWhenUsed/>
    <w:rsid w:val="001A3BE9"/>
    <w:pPr>
      <w:tabs>
        <w:tab w:val="center" w:pos="4153"/>
        <w:tab w:val="right" w:pos="8306"/>
      </w:tabs>
      <w:snapToGrid w:val="0"/>
      <w:jc w:val="left"/>
    </w:pPr>
    <w:rPr>
      <w:sz w:val="18"/>
      <w:szCs w:val="18"/>
    </w:rPr>
  </w:style>
  <w:style w:type="character" w:customStyle="1" w:styleId="Char0">
    <w:name w:val="页脚 Char"/>
    <w:basedOn w:val="a0"/>
    <w:link w:val="a4"/>
    <w:uiPriority w:val="99"/>
    <w:rsid w:val="001A3BE9"/>
    <w:rPr>
      <w:sz w:val="18"/>
      <w:szCs w:val="18"/>
    </w:rPr>
  </w:style>
  <w:style w:type="paragraph" w:styleId="a5">
    <w:name w:val="Normal (Web)"/>
    <w:basedOn w:val="a"/>
    <w:uiPriority w:val="99"/>
    <w:semiHidden/>
    <w:unhideWhenUsed/>
    <w:rsid w:val="001A3B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1220">
      <w:bodyDiv w:val="1"/>
      <w:marLeft w:val="0"/>
      <w:marRight w:val="0"/>
      <w:marTop w:val="0"/>
      <w:marBottom w:val="0"/>
      <w:divBdr>
        <w:top w:val="none" w:sz="0" w:space="0" w:color="auto"/>
        <w:left w:val="none" w:sz="0" w:space="0" w:color="auto"/>
        <w:bottom w:val="none" w:sz="0" w:space="0" w:color="auto"/>
        <w:right w:val="none" w:sz="0" w:space="0" w:color="auto"/>
      </w:divBdr>
      <w:divsChild>
        <w:div w:id="134109567">
          <w:marLeft w:val="0"/>
          <w:marRight w:val="0"/>
          <w:marTop w:val="0"/>
          <w:marBottom w:val="0"/>
          <w:divBdr>
            <w:top w:val="none" w:sz="0" w:space="0" w:color="auto"/>
            <w:left w:val="none" w:sz="0" w:space="0" w:color="auto"/>
            <w:bottom w:val="none" w:sz="0" w:space="0" w:color="auto"/>
            <w:right w:val="none" w:sz="0" w:space="0" w:color="auto"/>
          </w:divBdr>
          <w:divsChild>
            <w:div w:id="903874093">
              <w:marLeft w:val="0"/>
              <w:marRight w:val="0"/>
              <w:marTop w:val="0"/>
              <w:marBottom w:val="0"/>
              <w:divBdr>
                <w:top w:val="none" w:sz="0" w:space="0" w:color="auto"/>
                <w:left w:val="none" w:sz="0" w:space="0" w:color="auto"/>
                <w:bottom w:val="none" w:sz="0" w:space="0" w:color="auto"/>
                <w:right w:val="none" w:sz="0" w:space="0" w:color="auto"/>
              </w:divBdr>
              <w:divsChild>
                <w:div w:id="16189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330">
      <w:bodyDiv w:val="1"/>
      <w:marLeft w:val="0"/>
      <w:marRight w:val="0"/>
      <w:marTop w:val="0"/>
      <w:marBottom w:val="0"/>
      <w:divBdr>
        <w:top w:val="none" w:sz="0" w:space="0" w:color="auto"/>
        <w:left w:val="none" w:sz="0" w:space="0" w:color="auto"/>
        <w:bottom w:val="none" w:sz="0" w:space="0" w:color="auto"/>
        <w:right w:val="none" w:sz="0" w:space="0" w:color="auto"/>
      </w:divBdr>
      <w:divsChild>
        <w:div w:id="520511125">
          <w:marLeft w:val="0"/>
          <w:marRight w:val="0"/>
          <w:marTop w:val="600"/>
          <w:marBottom w:val="900"/>
          <w:divBdr>
            <w:top w:val="none" w:sz="0" w:space="0" w:color="auto"/>
            <w:left w:val="none" w:sz="0" w:space="0" w:color="auto"/>
            <w:bottom w:val="none" w:sz="0" w:space="0" w:color="auto"/>
            <w:right w:val="none" w:sz="0" w:space="0" w:color="auto"/>
          </w:divBdr>
          <w:divsChild>
            <w:div w:id="1363556694">
              <w:marLeft w:val="0"/>
              <w:marRight w:val="0"/>
              <w:marTop w:val="0"/>
              <w:marBottom w:val="0"/>
              <w:divBdr>
                <w:top w:val="none" w:sz="0" w:space="0" w:color="auto"/>
                <w:left w:val="none" w:sz="0" w:space="0" w:color="auto"/>
                <w:bottom w:val="none" w:sz="0" w:space="0" w:color="auto"/>
                <w:right w:val="single" w:sz="6" w:space="30" w:color="EEEEEE"/>
              </w:divBdr>
              <w:divsChild>
                <w:div w:id="1293975396">
                  <w:marLeft w:val="0"/>
                  <w:marRight w:val="0"/>
                  <w:marTop w:val="0"/>
                  <w:marBottom w:val="0"/>
                  <w:divBdr>
                    <w:top w:val="none" w:sz="0" w:space="0" w:color="auto"/>
                    <w:left w:val="none" w:sz="0" w:space="0" w:color="auto"/>
                    <w:bottom w:val="none" w:sz="0" w:space="0" w:color="auto"/>
                    <w:right w:val="none" w:sz="0" w:space="0" w:color="auto"/>
                  </w:divBdr>
                  <w:divsChild>
                    <w:div w:id="15370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个人部支付结算</dc:creator>
  <cp:keywords/>
  <dc:description/>
  <cp:lastModifiedBy>个人部支付结算</cp:lastModifiedBy>
  <cp:revision>6</cp:revision>
  <dcterms:created xsi:type="dcterms:W3CDTF">2021-04-15T06:38:00Z</dcterms:created>
  <dcterms:modified xsi:type="dcterms:W3CDTF">2021-04-16T06:02:00Z</dcterms:modified>
</cp:coreProperties>
</file>